
<file path=[Content_Types].xml><?xml version="1.0" encoding="utf-8"?>
<Types xmlns="http://schemas.openxmlformats.org/package/2006/content-types">
  <Default Extension="xml" ContentType="application/xml"/>
  <Default Extension="png" ContentType="image/png"/>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43C9C2">
      <w:pPr>
        <w:pStyle w:val="9"/>
        <w:overflowPunct w:val="0"/>
        <w:topLinePunct/>
        <w:spacing w:line="360" w:lineRule="auto"/>
        <w:ind w:firstLine="400"/>
        <w:rPr>
          <w:rFonts w:cs="Times New Roman" w:eastAsiaTheme="minorEastAsia"/>
          <w:sz w:val="20"/>
        </w:rPr>
      </w:pPr>
    </w:p>
    <w:p w14:paraId="2B9FD0E0">
      <w:pPr>
        <w:pStyle w:val="9"/>
        <w:overflowPunct w:val="0"/>
        <w:topLinePunct/>
        <w:spacing w:line="360" w:lineRule="auto"/>
        <w:ind w:firstLine="400"/>
        <w:rPr>
          <w:rFonts w:cs="Times New Roman" w:eastAsiaTheme="minorEastAsia"/>
          <w:sz w:val="20"/>
        </w:rPr>
      </w:pPr>
    </w:p>
    <w:p w14:paraId="2D1CE879">
      <w:pPr>
        <w:pStyle w:val="9"/>
        <w:overflowPunct w:val="0"/>
        <w:topLinePunct/>
        <w:spacing w:line="360" w:lineRule="auto"/>
        <w:ind w:firstLine="400"/>
        <w:rPr>
          <w:rFonts w:cs="Times New Roman" w:eastAsiaTheme="minorEastAsia"/>
          <w:sz w:val="20"/>
        </w:rPr>
      </w:pPr>
    </w:p>
    <w:p w14:paraId="490F4302">
      <w:pPr>
        <w:pStyle w:val="9"/>
        <w:overflowPunct w:val="0"/>
        <w:topLinePunct/>
        <w:spacing w:line="360" w:lineRule="auto"/>
        <w:ind w:firstLine="400"/>
        <w:rPr>
          <w:rFonts w:cs="Times New Roman" w:eastAsiaTheme="minorEastAsia"/>
          <w:sz w:val="20"/>
        </w:rPr>
      </w:pPr>
    </w:p>
    <w:p w14:paraId="698A8C23">
      <w:pPr>
        <w:pStyle w:val="9"/>
        <w:overflowPunct w:val="0"/>
        <w:topLinePunct/>
        <w:spacing w:line="360" w:lineRule="auto"/>
        <w:ind w:firstLine="400"/>
        <w:rPr>
          <w:rFonts w:cs="Times New Roman" w:eastAsiaTheme="minorEastAsia"/>
          <w:sz w:val="20"/>
        </w:rPr>
      </w:pPr>
    </w:p>
    <w:p w14:paraId="032F0C29">
      <w:pPr>
        <w:pStyle w:val="9"/>
        <w:overflowPunct w:val="0"/>
        <w:topLinePunct/>
        <w:spacing w:line="360" w:lineRule="auto"/>
        <w:ind w:firstLine="400"/>
        <w:rPr>
          <w:rFonts w:cs="Times New Roman" w:eastAsiaTheme="minorEastAsia"/>
          <w:sz w:val="20"/>
        </w:rPr>
      </w:pPr>
    </w:p>
    <w:p w14:paraId="3EF23485">
      <w:pPr>
        <w:pStyle w:val="9"/>
        <w:overflowPunct w:val="0"/>
        <w:topLinePunct/>
        <w:spacing w:before="6" w:line="360" w:lineRule="auto"/>
        <w:ind w:firstLine="340"/>
        <w:rPr>
          <w:rFonts w:cs="Times New Roman" w:eastAsiaTheme="minorEastAsia"/>
          <w:sz w:val="17"/>
        </w:rPr>
      </w:pPr>
    </w:p>
    <w:p w14:paraId="6CD5B1ED">
      <w:pPr>
        <w:overflowPunct w:val="0"/>
        <w:topLinePunct/>
        <w:spacing w:before="240" w:beforeLines="100" w:after="240" w:afterLines="100"/>
        <w:ind w:firstLine="723"/>
        <w:jc w:val="center"/>
        <w:rPr>
          <w:rFonts w:cs="Times New Roman" w:eastAsiaTheme="minorEastAsia"/>
          <w:b/>
          <w:sz w:val="36"/>
          <w:lang w:eastAsia="zh-CN"/>
        </w:rPr>
      </w:pPr>
    </w:p>
    <w:p w14:paraId="5D17B93F">
      <w:pPr>
        <w:overflowPunct w:val="0"/>
        <w:topLinePunct/>
        <w:spacing w:before="240" w:beforeLines="100" w:after="240" w:afterLines="100"/>
        <w:ind w:firstLine="803"/>
        <w:jc w:val="center"/>
        <w:rPr>
          <w:rFonts w:cs="Times New Roman" w:eastAsiaTheme="minorEastAsia"/>
          <w:b/>
          <w:sz w:val="40"/>
          <w:lang w:eastAsia="zh-CN"/>
        </w:rPr>
      </w:pPr>
      <w:r>
        <w:rPr>
          <w:rFonts w:hint="eastAsia" w:cs="Times New Roman" w:eastAsiaTheme="minorEastAsia"/>
          <w:b/>
          <w:sz w:val="40"/>
          <w:lang w:eastAsia="zh-CN"/>
        </w:rPr>
        <w:t>《建筑塑料制品中合成树脂种类鉴定方法 第1部分：红外光谱法》</w:t>
      </w:r>
    </w:p>
    <w:p w14:paraId="722A924E">
      <w:pPr>
        <w:overflowPunct w:val="0"/>
        <w:topLinePunct/>
        <w:spacing w:before="240" w:beforeLines="100" w:after="240" w:afterLines="100"/>
        <w:ind w:firstLine="883"/>
        <w:jc w:val="center"/>
        <w:rPr>
          <w:rFonts w:cs="Times New Roman" w:eastAsiaTheme="minorEastAsia"/>
          <w:b/>
          <w:sz w:val="44"/>
          <w:lang w:eastAsia="zh-CN"/>
        </w:rPr>
      </w:pPr>
      <w:r>
        <w:rPr>
          <w:rFonts w:cs="Times New Roman" w:eastAsiaTheme="minorEastAsia"/>
          <w:b/>
          <w:sz w:val="44"/>
          <w:lang w:eastAsia="zh-CN"/>
        </w:rPr>
        <w:t>编 制 说 明</w:t>
      </w:r>
    </w:p>
    <w:p w14:paraId="663BB42B">
      <w:pPr>
        <w:pStyle w:val="9"/>
        <w:overflowPunct w:val="0"/>
        <w:topLinePunct/>
        <w:spacing w:line="360" w:lineRule="auto"/>
        <w:ind w:firstLine="643"/>
        <w:jc w:val="center"/>
        <w:rPr>
          <w:rFonts w:cs="Times New Roman" w:eastAsiaTheme="minorEastAsia"/>
          <w:b/>
          <w:sz w:val="32"/>
          <w:lang w:eastAsia="zh-CN"/>
        </w:rPr>
      </w:pPr>
      <w:r>
        <w:rPr>
          <w:rFonts w:cs="Times New Roman" w:eastAsiaTheme="minorEastAsia"/>
          <w:b/>
          <w:sz w:val="32"/>
          <w:lang w:eastAsia="zh-CN"/>
        </w:rPr>
        <w:t>（</w:t>
      </w:r>
      <w:r>
        <w:rPr>
          <w:rFonts w:hint="eastAsia" w:cs="Times New Roman" w:eastAsiaTheme="minorEastAsia"/>
          <w:b/>
          <w:sz w:val="32"/>
          <w:lang w:eastAsia="zh-CN"/>
        </w:rPr>
        <w:t>征求</w:t>
      </w:r>
      <w:r>
        <w:rPr>
          <w:rFonts w:cs="Times New Roman" w:eastAsiaTheme="minorEastAsia"/>
          <w:b/>
          <w:sz w:val="32"/>
          <w:lang w:eastAsia="zh-CN"/>
        </w:rPr>
        <w:t>意见稿）</w:t>
      </w:r>
    </w:p>
    <w:p w14:paraId="1B7BBCF3">
      <w:pPr>
        <w:pStyle w:val="9"/>
        <w:overflowPunct w:val="0"/>
        <w:topLinePunct/>
        <w:spacing w:line="360" w:lineRule="auto"/>
        <w:ind w:firstLine="600"/>
        <w:rPr>
          <w:rFonts w:cs="Times New Roman" w:eastAsiaTheme="minorEastAsia"/>
          <w:sz w:val="30"/>
          <w:lang w:eastAsia="zh-CN"/>
        </w:rPr>
      </w:pPr>
    </w:p>
    <w:p w14:paraId="750C7C42">
      <w:pPr>
        <w:pStyle w:val="9"/>
        <w:overflowPunct w:val="0"/>
        <w:topLinePunct/>
        <w:spacing w:line="360" w:lineRule="auto"/>
        <w:ind w:firstLine="600"/>
        <w:rPr>
          <w:rFonts w:cs="Times New Roman" w:eastAsiaTheme="minorEastAsia"/>
          <w:sz w:val="30"/>
          <w:lang w:eastAsia="zh-CN"/>
        </w:rPr>
      </w:pPr>
    </w:p>
    <w:p w14:paraId="7B07E2D7">
      <w:pPr>
        <w:pStyle w:val="9"/>
        <w:overflowPunct w:val="0"/>
        <w:topLinePunct/>
        <w:spacing w:line="360" w:lineRule="auto"/>
        <w:ind w:firstLine="600"/>
        <w:rPr>
          <w:rFonts w:cs="Times New Roman" w:eastAsiaTheme="minorEastAsia"/>
          <w:sz w:val="30"/>
          <w:lang w:eastAsia="zh-CN"/>
        </w:rPr>
      </w:pPr>
    </w:p>
    <w:p w14:paraId="78963D79">
      <w:pPr>
        <w:pStyle w:val="9"/>
        <w:overflowPunct w:val="0"/>
        <w:topLinePunct/>
        <w:spacing w:line="360" w:lineRule="auto"/>
        <w:ind w:firstLine="600"/>
        <w:rPr>
          <w:rFonts w:cs="Times New Roman" w:eastAsiaTheme="minorEastAsia"/>
          <w:sz w:val="30"/>
          <w:lang w:eastAsia="zh-CN"/>
        </w:rPr>
      </w:pPr>
    </w:p>
    <w:p w14:paraId="36C15666">
      <w:pPr>
        <w:pStyle w:val="9"/>
        <w:overflowPunct w:val="0"/>
        <w:topLinePunct/>
        <w:spacing w:line="360" w:lineRule="auto"/>
        <w:ind w:firstLine="600"/>
        <w:rPr>
          <w:rFonts w:cs="Times New Roman" w:eastAsiaTheme="minorEastAsia"/>
          <w:sz w:val="30"/>
          <w:lang w:eastAsia="zh-CN"/>
        </w:rPr>
      </w:pPr>
    </w:p>
    <w:p w14:paraId="321C623E">
      <w:pPr>
        <w:pStyle w:val="9"/>
        <w:overflowPunct w:val="0"/>
        <w:topLinePunct/>
        <w:spacing w:line="360" w:lineRule="auto"/>
        <w:ind w:firstLine="600"/>
        <w:rPr>
          <w:rFonts w:cs="Times New Roman" w:eastAsiaTheme="minorEastAsia"/>
          <w:sz w:val="30"/>
          <w:lang w:eastAsia="zh-CN"/>
        </w:rPr>
      </w:pPr>
    </w:p>
    <w:p w14:paraId="05F1C08A">
      <w:pPr>
        <w:pStyle w:val="9"/>
        <w:overflowPunct w:val="0"/>
        <w:topLinePunct/>
        <w:spacing w:line="360" w:lineRule="auto"/>
        <w:ind w:firstLine="600"/>
        <w:rPr>
          <w:rFonts w:cs="Times New Roman" w:eastAsiaTheme="minorEastAsia"/>
          <w:sz w:val="30"/>
          <w:lang w:eastAsia="zh-CN"/>
        </w:rPr>
      </w:pPr>
    </w:p>
    <w:p w14:paraId="267423B5">
      <w:pPr>
        <w:pStyle w:val="9"/>
        <w:overflowPunct w:val="0"/>
        <w:topLinePunct/>
        <w:spacing w:line="360" w:lineRule="auto"/>
        <w:ind w:firstLine="600"/>
        <w:rPr>
          <w:rFonts w:cs="Times New Roman" w:eastAsiaTheme="minorEastAsia"/>
          <w:sz w:val="30"/>
          <w:lang w:eastAsia="zh-CN"/>
        </w:rPr>
      </w:pPr>
    </w:p>
    <w:p w14:paraId="508AABB9">
      <w:pPr>
        <w:overflowPunct w:val="0"/>
        <w:topLinePunct/>
        <w:spacing w:before="245"/>
        <w:ind w:firstLine="1221" w:firstLineChars="400"/>
        <w:jc w:val="center"/>
        <w:rPr>
          <w:rFonts w:cs="Times New Roman" w:eastAsiaTheme="minorEastAsia"/>
          <w:b/>
          <w:w w:val="95"/>
          <w:sz w:val="32"/>
          <w:lang w:eastAsia="zh-CN"/>
        </w:rPr>
      </w:pPr>
      <w:r>
        <w:rPr>
          <w:rFonts w:cs="Times New Roman" w:eastAsiaTheme="minorEastAsia"/>
          <w:b/>
          <w:w w:val="95"/>
          <w:sz w:val="32"/>
          <w:lang w:eastAsia="zh-CN"/>
        </w:rPr>
        <w:t>主编单位：中国国检测试控股集团股份有限公司</w:t>
      </w:r>
    </w:p>
    <w:p w14:paraId="72EAB14B">
      <w:pPr>
        <w:overflowPunct w:val="0"/>
        <w:topLinePunct/>
        <w:spacing w:before="245"/>
        <w:ind w:firstLine="1221" w:firstLineChars="400"/>
        <w:rPr>
          <w:rFonts w:cs="Times New Roman" w:eastAsiaTheme="minorEastAsia"/>
          <w:b/>
          <w:w w:val="95"/>
          <w:sz w:val="32"/>
          <w:lang w:eastAsia="zh-CN"/>
        </w:rPr>
      </w:pPr>
    </w:p>
    <w:p w14:paraId="30A08953">
      <w:pPr>
        <w:overflowPunct w:val="0"/>
        <w:topLinePunct/>
        <w:spacing w:before="245"/>
        <w:ind w:firstLine="643"/>
        <w:jc w:val="center"/>
        <w:rPr>
          <w:rFonts w:cs="Times New Roman" w:eastAsiaTheme="minorEastAsia"/>
          <w:b/>
          <w:sz w:val="32"/>
          <w:lang w:eastAsia="zh-CN"/>
        </w:rPr>
      </w:pPr>
      <w:r>
        <w:rPr>
          <w:rFonts w:cs="Times New Roman" w:eastAsiaTheme="minorEastAsia"/>
          <w:b/>
          <w:sz w:val="32"/>
          <w:lang w:eastAsia="zh-CN"/>
        </w:rPr>
        <w:t>202</w:t>
      </w:r>
      <w:r>
        <w:rPr>
          <w:rFonts w:hint="eastAsia" w:cs="Times New Roman" w:eastAsiaTheme="minorEastAsia"/>
          <w:b/>
          <w:sz w:val="32"/>
          <w:lang w:eastAsia="zh-CN"/>
        </w:rPr>
        <w:t>5</w:t>
      </w:r>
      <w:r>
        <w:rPr>
          <w:rFonts w:cs="Times New Roman" w:eastAsiaTheme="minorEastAsia"/>
          <w:b/>
          <w:sz w:val="32"/>
          <w:lang w:eastAsia="zh-CN"/>
        </w:rPr>
        <w:t>年</w:t>
      </w:r>
      <w:r>
        <w:rPr>
          <w:rFonts w:hint="eastAsia" w:cs="Times New Roman" w:eastAsiaTheme="minorEastAsia"/>
          <w:b/>
          <w:sz w:val="32"/>
          <w:lang w:val="en-US" w:eastAsia="zh-CN"/>
        </w:rPr>
        <w:t>11</w:t>
      </w:r>
      <w:bookmarkStart w:id="66" w:name="_GoBack"/>
      <w:bookmarkEnd w:id="66"/>
      <w:r>
        <w:rPr>
          <w:rFonts w:cs="Times New Roman" w:eastAsiaTheme="minorEastAsia"/>
          <w:b/>
          <w:sz w:val="32"/>
          <w:lang w:eastAsia="zh-CN"/>
        </w:rPr>
        <w:t>月</w:t>
      </w:r>
    </w:p>
    <w:p w14:paraId="19C11164">
      <w:pPr>
        <w:overflowPunct w:val="0"/>
        <w:topLinePunct/>
        <w:ind w:firstLine="640"/>
        <w:jc w:val="center"/>
        <w:rPr>
          <w:rFonts w:cs="Times New Roman" w:eastAsiaTheme="minorEastAsia"/>
          <w:sz w:val="32"/>
          <w:lang w:eastAsia="zh-CN"/>
        </w:rPr>
        <w:sectPr>
          <w:headerReference r:id="rId7" w:type="first"/>
          <w:footerReference r:id="rId10" w:type="first"/>
          <w:headerReference r:id="rId5" w:type="default"/>
          <w:footerReference r:id="rId8" w:type="default"/>
          <w:headerReference r:id="rId6" w:type="even"/>
          <w:footerReference r:id="rId9" w:type="even"/>
          <w:type w:val="continuous"/>
          <w:pgSz w:w="11910" w:h="16840"/>
          <w:pgMar w:top="1440" w:right="1080" w:bottom="1440" w:left="1080" w:header="720" w:footer="720" w:gutter="0"/>
          <w:cols w:space="720" w:num="1"/>
          <w:docGrid w:linePitch="299" w:charSpace="0"/>
        </w:sectPr>
      </w:pPr>
    </w:p>
    <w:sdt>
      <w:sdtPr>
        <w:rPr>
          <w:rFonts w:ascii="Times New Roman" w:hAnsi="Times New Roman" w:cs="Times New Roman" w:eastAsiaTheme="minorEastAsia"/>
          <w:color w:val="auto"/>
          <w:sz w:val="22"/>
          <w:szCs w:val="22"/>
          <w:lang w:val="zh-CN" w:eastAsia="en-US"/>
        </w:rPr>
        <w:id w:val="1250615012"/>
        <w:docPartObj>
          <w:docPartGallery w:val="Table of Contents"/>
          <w:docPartUnique/>
        </w:docPartObj>
      </w:sdtPr>
      <w:sdtEndPr>
        <w:rPr>
          <w:rFonts w:ascii="Times New Roman" w:hAnsi="Times New Roman" w:cs="Times New Roman" w:eastAsiaTheme="minorEastAsia"/>
          <w:b/>
          <w:bCs/>
          <w:color w:val="auto"/>
          <w:sz w:val="24"/>
          <w:szCs w:val="22"/>
          <w:lang w:val="zh-CN" w:eastAsia="en-US"/>
        </w:rPr>
      </w:sdtEndPr>
      <w:sdtContent>
        <w:sdt>
          <w:sdtPr>
            <w:rPr>
              <w:rFonts w:ascii="Times New Roman" w:hAnsi="Times New Roman" w:cs="Times New Roman" w:eastAsiaTheme="minorEastAsia"/>
              <w:color w:val="auto"/>
              <w:sz w:val="22"/>
              <w:szCs w:val="22"/>
              <w:lang w:val="zh-CN" w:eastAsia="en-US"/>
            </w:rPr>
            <w:id w:val="-1401366898"/>
            <w:docPartObj>
              <w:docPartGallery w:val="Table of Contents"/>
              <w:docPartUnique/>
            </w:docPartObj>
          </w:sdtPr>
          <w:sdtEndPr>
            <w:rPr>
              <w:rFonts w:ascii="Times New Roman" w:hAnsi="Times New Roman" w:cs="Times New Roman" w:eastAsiaTheme="minorEastAsia"/>
              <w:b/>
              <w:bCs/>
              <w:color w:val="auto"/>
              <w:sz w:val="24"/>
              <w:szCs w:val="22"/>
              <w:lang w:val="zh-CN" w:eastAsia="en-US"/>
            </w:rPr>
          </w:sdtEndPr>
          <w:sdtContent>
            <w:p w14:paraId="1EC4F3CF">
              <w:pPr>
                <w:pStyle w:val="40"/>
                <w:overflowPunct w:val="0"/>
                <w:topLinePunct/>
                <w:spacing w:before="120" w:after="480" w:afterLines="200"/>
                <w:ind w:firstLine="440"/>
                <w:jc w:val="center"/>
                <w:rPr>
                  <w:rFonts w:ascii="Times New Roman" w:hAnsi="Times New Roman" w:cs="Times New Roman" w:eastAsiaTheme="minorEastAsia"/>
                  <w:b/>
                  <w:color w:val="000000" w:themeColor="text1"/>
                  <w:lang w:val="zh-CN"/>
                  <w14:textFill>
                    <w14:solidFill>
                      <w14:schemeClr w14:val="tx1"/>
                    </w14:solidFill>
                  </w14:textFill>
                </w:rPr>
              </w:pPr>
              <w:r>
                <w:rPr>
                  <w:rFonts w:ascii="Times New Roman" w:hAnsi="Times New Roman" w:cs="Times New Roman" w:eastAsiaTheme="minorEastAsia"/>
                  <w:b/>
                  <w:color w:val="000000" w:themeColor="text1"/>
                  <w:lang w:val="zh-CN"/>
                  <w14:textFill>
                    <w14:solidFill>
                      <w14:schemeClr w14:val="tx1"/>
                    </w14:solidFill>
                  </w14:textFill>
                </w:rPr>
                <w:t>目录</w:t>
              </w:r>
            </w:p>
            <w:p w14:paraId="0DF68F17">
              <w:pPr>
                <w:pStyle w:val="15"/>
                <w:tabs>
                  <w:tab w:val="right" w:leader="dot" w:pos="9740"/>
                </w:tabs>
                <w:ind w:firstLine="480"/>
                <w:rPr>
                  <w:rFonts w:asciiTheme="minorHAnsi" w:hAnsiTheme="minorHAnsi" w:eastAsiaTheme="minorEastAsia" w:cstheme="minorBidi"/>
                  <w:kern w:val="2"/>
                  <w:sz w:val="21"/>
                  <w:lang w:eastAsia="zh-CN"/>
                </w:rPr>
              </w:pPr>
              <w:r>
                <w:rPr>
                  <w:rFonts w:cs="Times New Roman" w:eastAsiaTheme="minorEastAsia"/>
                  <w:szCs w:val="24"/>
                </w:rPr>
                <w:fldChar w:fldCharType="begin"/>
              </w:r>
              <w:r>
                <w:rPr>
                  <w:rFonts w:cs="Times New Roman" w:eastAsiaTheme="minorEastAsia"/>
                  <w:szCs w:val="24"/>
                </w:rPr>
                <w:instrText xml:space="preserve"> TOC \o "1-3" \h \z \u </w:instrText>
              </w:r>
              <w:r>
                <w:rPr>
                  <w:rFonts w:cs="Times New Roman" w:eastAsiaTheme="minorEastAsia"/>
                  <w:szCs w:val="24"/>
                </w:rPr>
                <w:fldChar w:fldCharType="separate"/>
              </w:r>
              <w:r>
                <w:fldChar w:fldCharType="begin"/>
              </w:r>
              <w:r>
                <w:instrText xml:space="preserve"> HYPERLINK \l "_Toc211857907" </w:instrText>
              </w:r>
              <w:r>
                <w:fldChar w:fldCharType="separate"/>
              </w:r>
              <w:r>
                <w:rPr>
                  <w:rStyle w:val="25"/>
                  <w:lang w:eastAsia="zh-CN"/>
                </w:rPr>
                <w:t>1  工作简况</w:t>
              </w:r>
              <w:r>
                <w:tab/>
              </w:r>
              <w:r>
                <w:fldChar w:fldCharType="begin"/>
              </w:r>
              <w:r>
                <w:instrText xml:space="preserve"> PAGEREF _Toc211857907 \h </w:instrText>
              </w:r>
              <w:r>
                <w:fldChar w:fldCharType="separate"/>
              </w:r>
              <w:r>
                <w:t>3</w:t>
              </w:r>
              <w:r>
                <w:fldChar w:fldCharType="end"/>
              </w:r>
              <w:r>
                <w:fldChar w:fldCharType="end"/>
              </w:r>
            </w:p>
            <w:p w14:paraId="46DC1921">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"_Toc211857908" </w:instrText>
              </w:r>
              <w:r>
                <w:fldChar w:fldCharType="separate"/>
              </w:r>
              <w:r>
                <w:rPr>
                  <w:rStyle w:val="25"/>
                  <w:lang w:eastAsia="zh-CN"/>
                </w:rPr>
                <w:t>1.1 任务来源</w:t>
              </w:r>
              <w:r>
                <w:tab/>
              </w:r>
              <w:r>
                <w:fldChar w:fldCharType="begin"/>
              </w:r>
              <w:r>
                <w:instrText xml:space="preserve"> PAGEREF _Toc211857908 \h </w:instrText>
              </w:r>
              <w:r>
                <w:fldChar w:fldCharType="separate"/>
              </w:r>
              <w:r>
                <w:t>3</w:t>
              </w:r>
              <w:r>
                <w:fldChar w:fldCharType="end"/>
              </w:r>
              <w:r>
                <w:fldChar w:fldCharType="end"/>
              </w:r>
            </w:p>
            <w:p w14:paraId="04BCF48A">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"_Toc211857909" </w:instrText>
              </w:r>
              <w:r>
                <w:fldChar w:fldCharType="separate"/>
              </w:r>
              <w:r>
                <w:rPr>
                  <w:rStyle w:val="25"/>
                  <w:lang w:eastAsia="zh-CN"/>
                </w:rPr>
                <w:t>1.2 主要工作过程</w:t>
              </w:r>
              <w:r>
                <w:tab/>
              </w:r>
              <w:r>
                <w:fldChar w:fldCharType="begin"/>
              </w:r>
              <w:r>
                <w:instrText xml:space="preserve"> PAGEREF _Toc211857909 \h </w:instrText>
              </w:r>
              <w:r>
                <w:fldChar w:fldCharType="separate"/>
              </w:r>
              <w:r>
                <w:t>3</w:t>
              </w:r>
              <w:r>
                <w:fldChar w:fldCharType="end"/>
              </w:r>
              <w:r>
                <w:fldChar w:fldCharType="end"/>
              </w:r>
            </w:p>
            <w:p w14:paraId="5FFDF4AC">
              <w:pPr>
                <w:pStyle w:val="10"/>
                <w:tabs>
                  <w:tab w:val="right" w:leader="dot" w:pos="9740"/>
                </w:tabs>
                <w:ind w:left="960" w:firstLine="480"/>
                <w:rPr>
                  <w:rFonts w:asciiTheme="minorHAnsi" w:hAnsiTheme="minorHAnsi" w:eastAsiaTheme="minorEastAsia" w:cstheme="minorBidi"/>
                  <w:kern w:val="2"/>
                  <w:sz w:val="21"/>
                  <w:lang w:eastAsia="zh-CN"/>
                </w:rPr>
              </w:pPr>
              <w:r>
                <w:fldChar w:fldCharType="begin"/>
              </w:r>
              <w:r>
                <w:instrText xml:space="preserve"> HYPERLINK \l "_Toc211857910" </w:instrText>
              </w:r>
              <w:r>
                <w:fldChar w:fldCharType="separate"/>
              </w:r>
              <w:r>
                <w:rPr>
                  <w:rStyle w:val="25"/>
                  <w:lang w:eastAsia="zh-CN"/>
                </w:rPr>
                <w:t>1.2.1 工作过程</w:t>
              </w:r>
              <w:r>
                <w:tab/>
              </w:r>
              <w:r>
                <w:fldChar w:fldCharType="begin"/>
              </w:r>
              <w:r>
                <w:instrText xml:space="preserve"> PAGEREF _Toc211857910 \h </w:instrText>
              </w:r>
              <w:r>
                <w:fldChar w:fldCharType="separate"/>
              </w:r>
              <w:r>
                <w:t>3</w:t>
              </w:r>
              <w:r>
                <w:fldChar w:fldCharType="end"/>
              </w:r>
              <w:r>
                <w:fldChar w:fldCharType="end"/>
              </w:r>
            </w:p>
            <w:p w14:paraId="2CA06093">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"_Toc211857911" </w:instrText>
              </w:r>
              <w:r>
                <w:fldChar w:fldCharType="separate"/>
              </w:r>
              <w:r>
                <w:rPr>
                  <w:rStyle w:val="25"/>
                  <w:lang w:eastAsia="zh-CN"/>
                </w:rPr>
                <w:t>2  标准编制原则和确定标准主要内容</w:t>
              </w:r>
              <w:r>
                <w:tab/>
              </w:r>
              <w:r>
                <w:fldChar w:fldCharType="begin"/>
              </w:r>
              <w:r>
                <w:instrText xml:space="preserve"> PAGEREF _Toc211857911 \h </w:instrText>
              </w:r>
              <w:r>
                <w:fldChar w:fldCharType="separate"/>
              </w:r>
              <w:r>
                <w:t>3</w:t>
              </w:r>
              <w:r>
                <w:fldChar w:fldCharType="end"/>
              </w:r>
              <w:r>
                <w:fldChar w:fldCharType="end"/>
              </w:r>
            </w:p>
            <w:p w14:paraId="1FA5A512">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"_Toc211857912" </w:instrText>
              </w:r>
              <w:r>
                <w:fldChar w:fldCharType="separate"/>
              </w:r>
              <w:r>
                <w:rPr>
                  <w:rStyle w:val="25"/>
                  <w:lang w:eastAsia="zh-CN"/>
                </w:rPr>
                <w:t>2.1 标准编制原则</w:t>
              </w:r>
              <w:r>
                <w:tab/>
              </w:r>
              <w:r>
                <w:fldChar w:fldCharType="begin"/>
              </w:r>
              <w:r>
                <w:instrText xml:space="preserve"> PAGEREF _Toc211857912 \h </w:instrText>
              </w:r>
              <w:r>
                <w:fldChar w:fldCharType="separate"/>
              </w:r>
              <w:r>
                <w:t>3</w:t>
              </w:r>
              <w:r>
                <w:fldChar w:fldCharType="end"/>
              </w:r>
              <w:r>
                <w:fldChar w:fldCharType="end"/>
              </w:r>
            </w:p>
            <w:p w14:paraId="30BA69D3">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"_Toc211857913" </w:instrText>
              </w:r>
              <w:r>
                <w:fldChar w:fldCharType="separate"/>
              </w:r>
              <w:r>
                <w:rPr>
                  <w:rStyle w:val="25"/>
                  <w:lang w:eastAsia="zh-CN"/>
                </w:rPr>
                <w:t>2.2 标准制订技术路线</w:t>
              </w:r>
              <w:r>
                <w:tab/>
              </w:r>
              <w:r>
                <w:fldChar w:fldCharType="begin"/>
              </w:r>
              <w:r>
                <w:instrText xml:space="preserve"> PAGEREF _Toc211857913 \h </w:instrText>
              </w:r>
              <w:r>
                <w:fldChar w:fldCharType="separate"/>
              </w:r>
              <w:r>
                <w:t>4</w:t>
              </w:r>
              <w:r>
                <w:fldChar w:fldCharType="end"/>
              </w:r>
              <w:r>
                <w:fldChar w:fldCharType="end"/>
              </w:r>
            </w:p>
            <w:p w14:paraId="7A7A85A9">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"_Toc211857914" </w:instrText>
              </w:r>
              <w:r>
                <w:fldChar w:fldCharType="separate"/>
              </w:r>
              <w:r>
                <w:rPr>
                  <w:rStyle w:val="25"/>
                  <w:lang w:eastAsia="zh-CN"/>
                </w:rPr>
                <w:t>2.3 标准主要内容的说明</w:t>
              </w:r>
              <w:r>
                <w:tab/>
              </w:r>
              <w:r>
                <w:fldChar w:fldCharType="begin"/>
              </w:r>
              <w:r>
                <w:instrText xml:space="preserve"> PAGEREF _Toc211857914 \h </w:instrText>
              </w:r>
              <w:r>
                <w:fldChar w:fldCharType="separate"/>
              </w:r>
              <w:r>
                <w:t>4</w:t>
              </w:r>
              <w:r>
                <w:fldChar w:fldCharType="end"/>
              </w:r>
              <w:r>
                <w:fldChar w:fldCharType="end"/>
              </w:r>
            </w:p>
            <w:p w14:paraId="4966A592">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"_Toc211857915" </w:instrText>
              </w:r>
              <w:r>
                <w:fldChar w:fldCharType="separate"/>
              </w:r>
              <w:r>
                <w:rPr>
                  <w:rStyle w:val="25"/>
                  <w:lang w:eastAsia="zh-CN"/>
                </w:rPr>
                <w:t>3  主要试验验证情况分析</w:t>
              </w:r>
              <w:r>
                <w:tab/>
              </w:r>
              <w:r>
                <w:fldChar w:fldCharType="begin"/>
              </w:r>
              <w:r>
                <w:instrText xml:space="preserve"> PAGEREF _Toc211857915 \h </w:instrText>
              </w:r>
              <w:r>
                <w:fldChar w:fldCharType="separate"/>
              </w:r>
              <w:r>
                <w:t>5</w:t>
              </w:r>
              <w:r>
                <w:fldChar w:fldCharType="end"/>
              </w:r>
              <w:r>
                <w:fldChar w:fldCharType="end"/>
              </w:r>
            </w:p>
            <w:p w14:paraId="01EAB194">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"_Toc211857916" </w:instrText>
              </w:r>
              <w:r>
                <w:fldChar w:fldCharType="separate"/>
              </w:r>
              <w:r>
                <w:rPr>
                  <w:rStyle w:val="25"/>
                  <w:lang w:eastAsia="zh-CN"/>
                </w:rPr>
                <w:t>3.1 试验仪器设备</w:t>
              </w:r>
              <w:r>
                <w:tab/>
              </w:r>
              <w:r>
                <w:fldChar w:fldCharType="begin"/>
              </w:r>
              <w:r>
                <w:instrText xml:space="preserve"> PAGEREF _Toc211857916 \h </w:instrText>
              </w:r>
              <w:r>
                <w:fldChar w:fldCharType="separate"/>
              </w:r>
              <w:r>
                <w:t>5</w:t>
              </w:r>
              <w:r>
                <w:fldChar w:fldCharType="end"/>
              </w:r>
              <w:r>
                <w:fldChar w:fldCharType="end"/>
              </w:r>
            </w:p>
            <w:p w14:paraId="23AB1E95">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"_Toc211857917" </w:instrText>
              </w:r>
              <w:r>
                <w:fldChar w:fldCharType="separate"/>
              </w:r>
              <w:r>
                <w:rPr>
                  <w:rStyle w:val="25"/>
                  <w:lang w:eastAsia="zh-CN"/>
                </w:rPr>
                <w:t>3.2 原理</w:t>
              </w:r>
              <w:r>
                <w:tab/>
              </w:r>
              <w:r>
                <w:fldChar w:fldCharType="begin"/>
              </w:r>
              <w:r>
                <w:instrText xml:space="preserve"> PAGEREF _Toc211857917 \h </w:instrText>
              </w:r>
              <w:r>
                <w:fldChar w:fldCharType="separate"/>
              </w:r>
              <w:r>
                <w:t>5</w:t>
              </w:r>
              <w:r>
                <w:fldChar w:fldCharType="end"/>
              </w:r>
              <w:r>
                <w:fldChar w:fldCharType="end"/>
              </w:r>
            </w:p>
            <w:p w14:paraId="76C10D39">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"_Toc211857918" </w:instrText>
              </w:r>
              <w:r>
                <w:fldChar w:fldCharType="separate"/>
              </w:r>
              <w:r>
                <w:rPr>
                  <w:rStyle w:val="25"/>
                  <w:lang w:eastAsia="zh-CN"/>
                </w:rPr>
                <w:t>3.3 试样前处理</w:t>
              </w:r>
              <w:r>
                <w:tab/>
              </w:r>
              <w:r>
                <w:fldChar w:fldCharType="begin"/>
              </w:r>
              <w:r>
                <w:instrText xml:space="preserve"> PAGEREF _Toc211857918 \h </w:instrText>
              </w:r>
              <w:r>
                <w:fldChar w:fldCharType="separate"/>
              </w:r>
              <w:r>
                <w:t>6</w:t>
              </w:r>
              <w:r>
                <w:fldChar w:fldCharType="end"/>
              </w:r>
              <w:r>
                <w:fldChar w:fldCharType="end"/>
              </w:r>
            </w:p>
            <w:p w14:paraId="67254568">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"_Toc211857919" </w:instrText>
              </w:r>
              <w:r>
                <w:fldChar w:fldCharType="separate"/>
              </w:r>
              <w:r>
                <w:rPr>
                  <w:rStyle w:val="25"/>
                  <w:lang w:eastAsia="zh-CN"/>
                </w:rPr>
                <w:t>3.4 试样测试</w:t>
              </w:r>
              <w:r>
                <w:tab/>
              </w:r>
              <w:r>
                <w:fldChar w:fldCharType="begin"/>
              </w:r>
              <w:r>
                <w:instrText xml:space="preserve"> PAGEREF _Toc211857919 \h </w:instrText>
              </w:r>
              <w:r>
                <w:fldChar w:fldCharType="separate"/>
              </w:r>
              <w:r>
                <w:t>7</w:t>
              </w:r>
              <w:r>
                <w:fldChar w:fldCharType="end"/>
              </w:r>
              <w:r>
                <w:fldChar w:fldCharType="end"/>
              </w:r>
            </w:p>
            <w:p w14:paraId="1BE490CF">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"_Toc211857920" </w:instrText>
              </w:r>
              <w:r>
                <w:fldChar w:fldCharType="separate"/>
              </w:r>
              <w:r>
                <w:rPr>
                  <w:rStyle w:val="25"/>
                  <w:lang w:eastAsia="zh-CN"/>
                </w:rPr>
                <w:t>3.5 结果分析</w:t>
              </w:r>
              <w:r>
                <w:tab/>
              </w:r>
              <w:r>
                <w:fldChar w:fldCharType="begin"/>
              </w:r>
              <w:r>
                <w:instrText xml:space="preserve"> PAGEREF _Toc211857920 \h </w:instrText>
              </w:r>
              <w:r>
                <w:fldChar w:fldCharType="separate"/>
              </w:r>
              <w:r>
                <w:t>7</w:t>
              </w:r>
              <w:r>
                <w:fldChar w:fldCharType="end"/>
              </w:r>
              <w:r>
                <w:fldChar w:fldCharType="end"/>
              </w:r>
            </w:p>
            <w:p w14:paraId="2A940980">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"_Toc211857921" </w:instrText>
              </w:r>
              <w:r>
                <w:fldChar w:fldCharType="separate"/>
              </w:r>
              <w:r>
                <w:rPr>
                  <w:rStyle w:val="25"/>
                  <w:lang w:eastAsia="zh-CN"/>
                </w:rPr>
                <w:t>4  标准中涉及专利情况</w:t>
              </w:r>
              <w:r>
                <w:tab/>
              </w:r>
              <w:r>
                <w:fldChar w:fldCharType="begin"/>
              </w:r>
              <w:r>
                <w:instrText xml:space="preserve"> PAGEREF _Toc211857921 \h </w:instrText>
              </w:r>
              <w:r>
                <w:fldChar w:fldCharType="separate"/>
              </w:r>
              <w:r>
                <w:t>13</w:t>
              </w:r>
              <w:r>
                <w:fldChar w:fldCharType="end"/>
              </w:r>
              <w:r>
                <w:fldChar w:fldCharType="end"/>
              </w:r>
            </w:p>
            <w:p w14:paraId="0C3D451A">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"_Toc211857922" </w:instrText>
              </w:r>
              <w:r>
                <w:fldChar w:fldCharType="separate"/>
              </w:r>
              <w:r>
                <w:rPr>
                  <w:rStyle w:val="25"/>
                  <w:lang w:eastAsia="zh-CN"/>
                </w:rPr>
                <w:t>5  产业化情况、推广应用论证和预期达到的经济效果等情况</w:t>
              </w:r>
              <w:r>
                <w:tab/>
              </w:r>
              <w:r>
                <w:fldChar w:fldCharType="begin"/>
              </w:r>
              <w:r>
                <w:instrText xml:space="preserve"> PAGEREF _Toc211857922 \h </w:instrText>
              </w:r>
              <w:r>
                <w:fldChar w:fldCharType="separate"/>
              </w:r>
              <w:r>
                <w:t>13</w:t>
              </w:r>
              <w:r>
                <w:fldChar w:fldCharType="end"/>
              </w:r>
              <w:r>
                <w:fldChar w:fldCharType="end"/>
              </w:r>
            </w:p>
            <w:p w14:paraId="2590A281">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"_Toc211857923" </w:instrText>
              </w:r>
              <w:r>
                <w:fldChar w:fldCharType="separate"/>
              </w:r>
              <w:r>
                <w:rPr>
                  <w:rStyle w:val="25"/>
                  <w:lang w:eastAsia="zh-CN"/>
                </w:rPr>
                <w:t>6  国外采标及对比情况</w:t>
              </w:r>
              <w:r>
                <w:tab/>
              </w:r>
              <w:r>
                <w:fldChar w:fldCharType="begin"/>
              </w:r>
              <w:r>
                <w:instrText xml:space="preserve"> PAGEREF _Toc211857923 \h </w:instrText>
              </w:r>
              <w:r>
                <w:fldChar w:fldCharType="separate"/>
              </w:r>
              <w:r>
                <w:t>14</w:t>
              </w:r>
              <w:r>
                <w:fldChar w:fldCharType="end"/>
              </w:r>
              <w:r>
                <w:fldChar w:fldCharType="end"/>
              </w:r>
            </w:p>
            <w:p w14:paraId="38B70136">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"_Toc211857924" </w:instrText>
              </w:r>
              <w:r>
                <w:fldChar w:fldCharType="separate"/>
              </w:r>
              <w:r>
                <w:rPr>
                  <w:rStyle w:val="25"/>
                  <w:lang w:eastAsia="zh-CN"/>
                </w:rPr>
                <w:t>7  与现行法律、法规和强制性国家标准的关系</w:t>
              </w:r>
              <w:r>
                <w:tab/>
              </w:r>
              <w:r>
                <w:fldChar w:fldCharType="begin"/>
              </w:r>
              <w:r>
                <w:instrText xml:space="preserve"> PAGEREF _Toc211857924 \h </w:instrText>
              </w:r>
              <w:r>
                <w:fldChar w:fldCharType="separate"/>
              </w:r>
              <w:r>
                <w:t>14</w:t>
              </w:r>
              <w:r>
                <w:fldChar w:fldCharType="end"/>
              </w:r>
              <w:r>
                <w:fldChar w:fldCharType="end"/>
              </w:r>
            </w:p>
            <w:p w14:paraId="5FB63FFE">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"_Toc211857925" </w:instrText>
              </w:r>
              <w:r>
                <w:fldChar w:fldCharType="separate"/>
              </w:r>
              <w:r>
                <w:rPr>
                  <w:rStyle w:val="25"/>
                  <w:lang w:eastAsia="zh-CN"/>
                </w:rPr>
                <w:t>8  重大分歧意见的处理经过和依据</w:t>
              </w:r>
              <w:r>
                <w:tab/>
              </w:r>
              <w:r>
                <w:fldChar w:fldCharType="begin"/>
              </w:r>
              <w:r>
                <w:instrText xml:space="preserve"> PAGEREF _Toc211857925 \h </w:instrText>
              </w:r>
              <w:r>
                <w:fldChar w:fldCharType="separate"/>
              </w:r>
              <w:r>
                <w:t>14</w:t>
              </w:r>
              <w:r>
                <w:fldChar w:fldCharType="end"/>
              </w:r>
              <w:r>
                <w:fldChar w:fldCharType="end"/>
              </w:r>
            </w:p>
            <w:p w14:paraId="6DC1E922">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"_Toc211857926" </w:instrText>
              </w:r>
              <w:r>
                <w:fldChar w:fldCharType="separate"/>
              </w:r>
              <w:r>
                <w:rPr>
                  <w:rStyle w:val="25"/>
                  <w:lang w:eastAsia="zh-CN"/>
                </w:rPr>
                <w:t>9  标准性质的建议说明</w:t>
              </w:r>
              <w:r>
                <w:tab/>
              </w:r>
              <w:r>
                <w:fldChar w:fldCharType="begin"/>
              </w:r>
              <w:r>
                <w:instrText xml:space="preserve"> PAGEREF _Toc211857926 \h </w:instrText>
              </w:r>
              <w:r>
                <w:fldChar w:fldCharType="separate"/>
              </w:r>
              <w:r>
                <w:t>14</w:t>
              </w:r>
              <w:r>
                <w:fldChar w:fldCharType="end"/>
              </w:r>
              <w:r>
                <w:fldChar w:fldCharType="end"/>
              </w:r>
            </w:p>
            <w:p w14:paraId="4319B2D7">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"_Toc211857927" </w:instrText>
              </w:r>
              <w:r>
                <w:fldChar w:fldCharType="separate"/>
              </w:r>
              <w:r>
                <w:rPr>
                  <w:rStyle w:val="25"/>
                  <w:lang w:eastAsia="zh-CN"/>
                </w:rPr>
                <w:t>10  贯彻标准的要求和措施建议</w:t>
              </w:r>
              <w:r>
                <w:tab/>
              </w:r>
              <w:r>
                <w:fldChar w:fldCharType="begin"/>
              </w:r>
              <w:r>
                <w:instrText xml:space="preserve"> PAGEREF _Toc211857927 \h </w:instrText>
              </w:r>
              <w:r>
                <w:fldChar w:fldCharType="separate"/>
              </w:r>
              <w:r>
                <w:t>14</w:t>
              </w:r>
              <w:r>
                <w:fldChar w:fldCharType="end"/>
              </w:r>
              <w:r>
                <w:fldChar w:fldCharType="end"/>
              </w:r>
            </w:p>
            <w:p w14:paraId="4BEEB4C0">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"_Toc211857928" </w:instrText>
              </w:r>
              <w:r>
                <w:fldChar w:fldCharType="separate"/>
              </w:r>
              <w:r>
                <w:rPr>
                  <w:rStyle w:val="25"/>
                  <w:lang w:eastAsia="zh-CN"/>
                </w:rPr>
                <w:t>11  废止现行相关标准的建议</w:t>
              </w:r>
              <w:r>
                <w:tab/>
              </w:r>
              <w:r>
                <w:fldChar w:fldCharType="begin"/>
              </w:r>
              <w:r>
                <w:instrText xml:space="preserve"> PAGEREF _Toc211857928 \h </w:instrText>
              </w:r>
              <w:r>
                <w:fldChar w:fldCharType="separate"/>
              </w:r>
              <w:r>
                <w:t>14</w:t>
              </w:r>
              <w:r>
                <w:fldChar w:fldCharType="end"/>
              </w:r>
              <w:r>
                <w:fldChar w:fldCharType="end"/>
              </w:r>
            </w:p>
            <w:p w14:paraId="1F991101">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"_Toc211857929" </w:instrText>
              </w:r>
              <w:r>
                <w:fldChar w:fldCharType="separate"/>
              </w:r>
              <w:r>
                <w:rPr>
                  <w:rStyle w:val="25"/>
                  <w:lang w:eastAsia="zh-CN"/>
                </w:rPr>
                <w:t>12  其它应予说明的事项</w:t>
              </w:r>
              <w:r>
                <w:tab/>
              </w:r>
              <w:r>
                <w:fldChar w:fldCharType="begin"/>
              </w:r>
              <w:r>
                <w:instrText xml:space="preserve"> PAGEREF _Toc211857929 \h </w:instrText>
              </w:r>
              <w:r>
                <w:fldChar w:fldCharType="separate"/>
              </w:r>
              <w:r>
                <w:t>14</w:t>
              </w:r>
              <w:r>
                <w:fldChar w:fldCharType="end"/>
              </w:r>
              <w:r>
                <w:fldChar w:fldCharType="end"/>
              </w:r>
            </w:p>
            <w:p w14:paraId="4E2E1261">
              <w:pPr>
                <w:pStyle w:val="15"/>
                <w:tabs>
                  <w:tab w:val="right" w:leader="dot" w:pos="9740"/>
                </w:tabs>
                <w:ind w:firstLine="480"/>
                <w:rPr>
                  <w:rFonts w:asciiTheme="minorHAnsi" w:hAnsiTheme="minorHAnsi" w:eastAsiaTheme="minorEastAsia" w:cstheme="minorBidi"/>
                  <w:kern w:val="2"/>
                  <w:sz w:val="21"/>
                  <w:lang w:eastAsia="zh-CN"/>
                </w:rPr>
              </w:pPr>
              <w:r>
                <w:fldChar w:fldCharType="begin"/>
              </w:r>
              <w:r>
                <w:instrText xml:space="preserve"> HYPERLINK \l "_Toc211857930" </w:instrText>
              </w:r>
              <w:r>
                <w:fldChar w:fldCharType="separate"/>
              </w:r>
              <w:r>
                <w:rPr>
                  <w:rStyle w:val="25"/>
                  <w:lang w:eastAsia="zh-CN"/>
                </w:rPr>
                <w:t>附件1  验证试验报告</w:t>
              </w:r>
              <w:r>
                <w:tab/>
              </w:r>
              <w:r>
                <w:fldChar w:fldCharType="begin"/>
              </w:r>
              <w:r>
                <w:instrText xml:space="preserve"> PAGEREF _Toc211857930 \h </w:instrText>
              </w:r>
              <w:r>
                <w:fldChar w:fldCharType="separate"/>
              </w:r>
              <w:r>
                <w:t>15</w:t>
              </w:r>
              <w:r>
                <w:fldChar w:fldCharType="end"/>
              </w:r>
              <w:r>
                <w:fldChar w:fldCharType="end"/>
              </w:r>
            </w:p>
            <w:p w14:paraId="5883E3DC">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"_Toc211857931" </w:instrText>
              </w:r>
              <w:r>
                <w:fldChar w:fldCharType="separate"/>
              </w:r>
              <w:r>
                <w:rPr>
                  <w:rStyle w:val="25"/>
                  <w:lang w:eastAsia="zh-CN"/>
                </w:rPr>
                <w:t>1 树脂定性鉴别结果</w:t>
              </w:r>
              <w:r>
                <w:tab/>
              </w:r>
              <w:r>
                <w:fldChar w:fldCharType="begin"/>
              </w:r>
              <w:r>
                <w:instrText xml:space="preserve"> PAGEREF _Toc211857931 \h </w:instrText>
              </w:r>
              <w:r>
                <w:fldChar w:fldCharType="separate"/>
              </w:r>
              <w:r>
                <w:t>15</w:t>
              </w:r>
              <w:r>
                <w:fldChar w:fldCharType="end"/>
              </w:r>
              <w:r>
                <w:fldChar w:fldCharType="end"/>
              </w:r>
            </w:p>
            <w:p w14:paraId="56C959D8">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"_Toc211857932" </w:instrText>
              </w:r>
              <w:r>
                <w:fldChar w:fldCharType="separate"/>
              </w:r>
              <w:r>
                <w:rPr>
                  <w:rStyle w:val="25"/>
                  <w:lang w:eastAsia="zh-CN"/>
                </w:rPr>
                <w:t>2 实验室内不同方法比对</w:t>
              </w:r>
              <w:r>
                <w:tab/>
              </w:r>
              <w:r>
                <w:fldChar w:fldCharType="begin"/>
              </w:r>
              <w:r>
                <w:instrText xml:space="preserve"> PAGEREF _Toc211857932 \h </w:instrText>
              </w:r>
              <w:r>
                <w:fldChar w:fldCharType="separate"/>
              </w:r>
              <w:r>
                <w:t>20</w:t>
              </w:r>
              <w:r>
                <w:fldChar w:fldCharType="end"/>
              </w:r>
              <w:r>
                <w:fldChar w:fldCharType="end"/>
              </w:r>
            </w:p>
            <w:p w14:paraId="05889507">
              <w:pPr>
                <w:pStyle w:val="17"/>
                <w:tabs>
                  <w:tab w:val="right" w:leader="dot" w:pos="9740"/>
                </w:tabs>
                <w:ind w:left="480" w:firstLine="480"/>
                <w:rPr>
                  <w:rFonts w:asciiTheme="minorHAnsi" w:hAnsiTheme="minorHAnsi" w:eastAsiaTheme="minorEastAsia" w:cstheme="minorBidi"/>
                  <w:kern w:val="2"/>
                  <w:sz w:val="21"/>
                  <w:lang w:eastAsia="zh-CN"/>
                </w:rPr>
              </w:pPr>
              <w:r>
                <w:fldChar w:fldCharType="begin"/>
              </w:r>
              <w:r>
                <w:instrText xml:space="preserve"> HYPERLINK \l "_Toc211857933" </w:instrText>
              </w:r>
              <w:r>
                <w:fldChar w:fldCharType="separate"/>
              </w:r>
              <w:r>
                <w:rPr>
                  <w:rStyle w:val="25"/>
                  <w:lang w:eastAsia="zh-CN"/>
                </w:rPr>
                <w:t>3 实验室间比对</w:t>
              </w:r>
              <w:r>
                <w:tab/>
              </w:r>
              <w:r>
                <w:fldChar w:fldCharType="begin"/>
              </w:r>
              <w:r>
                <w:instrText xml:space="preserve"> PAGEREF _Toc211857933 \h </w:instrText>
              </w:r>
              <w:r>
                <w:fldChar w:fldCharType="separate"/>
              </w:r>
              <w:r>
                <w:t>20</w:t>
              </w:r>
              <w:r>
                <w:fldChar w:fldCharType="end"/>
              </w:r>
              <w:r>
                <w:fldChar w:fldCharType="end"/>
              </w:r>
            </w:p>
            <w:p w14:paraId="3918ECD3">
              <w:pPr>
                <w:overflowPunct w:val="0"/>
                <w:topLinePunct/>
                <w:ind w:firstLine="480"/>
                <w:rPr>
                  <w:rFonts w:cs="Times New Roman" w:eastAsiaTheme="minorEastAsia"/>
                  <w:b/>
                  <w:bCs/>
                  <w:lang w:val="zh-CN"/>
                </w:rPr>
              </w:pPr>
              <w:r>
                <w:rPr>
                  <w:rFonts w:cs="Times New Roman" w:eastAsiaTheme="minorEastAsia"/>
                  <w:bCs/>
                  <w:szCs w:val="24"/>
                  <w:lang w:val="zh-CN"/>
                </w:rPr>
                <w:fldChar w:fldCharType="end"/>
              </w:r>
            </w:p>
          </w:sdtContent>
        </w:sdt>
      </w:sdtContent>
    </w:sdt>
    <w:p w14:paraId="62B69983">
      <w:pPr>
        <w:pStyle w:val="2"/>
        <w:overflowPunct w:val="0"/>
        <w:topLinePunct/>
        <w:spacing w:before="120" w:after="120"/>
        <w:rPr>
          <w:lang w:eastAsia="zh-CN"/>
        </w:rPr>
      </w:pPr>
      <w:bookmarkStart w:id="0" w:name="_Toc211857907"/>
      <w:r>
        <w:rPr>
          <w:lang w:eastAsia="zh-CN"/>
        </w:rPr>
        <w:t>1  工作简况</w:t>
      </w:r>
      <w:bookmarkEnd w:id="0"/>
    </w:p>
    <w:p w14:paraId="122C2B8E">
      <w:pPr>
        <w:pStyle w:val="3"/>
        <w:overflowPunct w:val="0"/>
        <w:topLinePunct/>
        <w:spacing w:before="120" w:after="120"/>
        <w:rPr>
          <w:lang w:eastAsia="zh-CN"/>
        </w:rPr>
      </w:pPr>
      <w:bookmarkStart w:id="1" w:name="_Toc197781950"/>
      <w:bookmarkStart w:id="2" w:name="_Toc211857908"/>
      <w:bookmarkStart w:id="3" w:name="_Toc93672640"/>
      <w:r>
        <w:rPr>
          <w:lang w:eastAsia="zh-CN"/>
        </w:rPr>
        <w:t>1.1 任务来源</w:t>
      </w:r>
      <w:bookmarkEnd w:id="1"/>
      <w:bookmarkEnd w:id="2"/>
      <w:bookmarkEnd w:id="3"/>
    </w:p>
    <w:p w14:paraId="7A3265A8">
      <w:pPr>
        <w:widowControl/>
        <w:overflowPunct w:val="0"/>
        <w:topLinePunct/>
        <w:ind w:firstLine="480"/>
        <w:jc w:val="both"/>
        <w:textAlignment w:val="baseline"/>
        <w:rPr>
          <w:rFonts w:cs="Times New Roman" w:eastAsiaTheme="minorEastAsia"/>
          <w:kern w:val="24"/>
          <w:szCs w:val="32"/>
          <w:lang w:eastAsia="zh-CN"/>
        </w:rPr>
      </w:pPr>
      <w:r>
        <w:rPr>
          <w:rFonts w:hint="eastAsia" w:cs="Times New Roman" w:eastAsiaTheme="minorEastAsia"/>
          <w:kern w:val="24"/>
          <w:szCs w:val="32"/>
          <w:lang w:eastAsia="zh-CN"/>
        </w:rPr>
        <w:t>根据“关于下达202</w:t>
      </w:r>
      <w:r>
        <w:rPr>
          <w:rFonts w:cs="Times New Roman" w:eastAsiaTheme="minorEastAsia"/>
          <w:kern w:val="24"/>
          <w:szCs w:val="32"/>
          <w:lang w:eastAsia="zh-CN"/>
        </w:rPr>
        <w:t>4</w:t>
      </w:r>
      <w:r>
        <w:rPr>
          <w:rFonts w:hint="eastAsia" w:cs="Times New Roman" w:eastAsiaTheme="minorEastAsia"/>
          <w:kern w:val="24"/>
          <w:szCs w:val="32"/>
          <w:lang w:eastAsia="zh-CN"/>
        </w:rPr>
        <w:t>年第四批协会标准制修订计划的通知”（中建材联标发[202</w:t>
      </w:r>
      <w:r>
        <w:rPr>
          <w:rFonts w:cs="Times New Roman" w:eastAsiaTheme="minorEastAsia"/>
          <w:kern w:val="24"/>
          <w:szCs w:val="32"/>
          <w:lang w:eastAsia="zh-CN"/>
        </w:rPr>
        <w:t>4</w:t>
      </w:r>
      <w:r>
        <w:rPr>
          <w:rFonts w:hint="eastAsia" w:cs="Times New Roman" w:eastAsiaTheme="minorEastAsia"/>
          <w:kern w:val="24"/>
          <w:szCs w:val="32"/>
          <w:lang w:eastAsia="zh-CN"/>
        </w:rPr>
        <w:t>]</w:t>
      </w:r>
      <w:r>
        <w:rPr>
          <w:rFonts w:cs="Times New Roman" w:eastAsiaTheme="minorEastAsia"/>
          <w:kern w:val="24"/>
          <w:szCs w:val="32"/>
          <w:lang w:eastAsia="zh-CN"/>
        </w:rPr>
        <w:t>59</w:t>
      </w:r>
      <w:r>
        <w:rPr>
          <w:rFonts w:hint="eastAsia" w:cs="Times New Roman" w:eastAsiaTheme="minorEastAsia"/>
          <w:kern w:val="24"/>
          <w:szCs w:val="32"/>
          <w:lang w:eastAsia="zh-CN"/>
        </w:rPr>
        <w:t>号），由中国国检测试控股集团股份有限公司承担团体标准《建筑塑料制品中合成树脂种类鉴定方法 第1部分：红外光谱法》（计划号：202</w:t>
      </w:r>
      <w:r>
        <w:rPr>
          <w:rFonts w:cs="Times New Roman" w:eastAsiaTheme="minorEastAsia"/>
          <w:kern w:val="24"/>
          <w:szCs w:val="32"/>
          <w:lang w:eastAsia="zh-CN"/>
        </w:rPr>
        <w:t>4</w:t>
      </w:r>
      <w:r>
        <w:rPr>
          <w:rFonts w:hint="eastAsia" w:cs="Times New Roman" w:eastAsiaTheme="minorEastAsia"/>
          <w:kern w:val="24"/>
          <w:szCs w:val="32"/>
          <w:lang w:eastAsia="zh-CN"/>
        </w:rPr>
        <w:t>-5</w:t>
      </w:r>
      <w:r>
        <w:rPr>
          <w:rFonts w:cs="Times New Roman" w:eastAsiaTheme="minorEastAsia"/>
          <w:kern w:val="24"/>
          <w:szCs w:val="32"/>
          <w:lang w:eastAsia="zh-CN"/>
        </w:rPr>
        <w:t>1</w:t>
      </w:r>
      <w:r>
        <w:rPr>
          <w:rFonts w:hint="eastAsia" w:cs="Times New Roman" w:eastAsiaTheme="minorEastAsia"/>
          <w:kern w:val="24"/>
          <w:szCs w:val="32"/>
          <w:lang w:eastAsia="zh-CN"/>
        </w:rPr>
        <w:t>-xbjh）的编制工作。</w:t>
      </w:r>
    </w:p>
    <w:p w14:paraId="7A72E726">
      <w:pPr>
        <w:pStyle w:val="3"/>
        <w:overflowPunct w:val="0"/>
        <w:topLinePunct/>
        <w:spacing w:before="120" w:after="120"/>
        <w:rPr>
          <w:lang w:eastAsia="zh-CN"/>
        </w:rPr>
      </w:pPr>
      <w:bookmarkStart w:id="4" w:name="_Toc211857909"/>
      <w:bookmarkStart w:id="5" w:name="_Toc197781951"/>
      <w:bookmarkStart w:id="6" w:name="_Toc93672641"/>
      <w:r>
        <w:rPr>
          <w:lang w:eastAsia="zh-CN"/>
        </w:rPr>
        <w:t>1.2 主要工作过程</w:t>
      </w:r>
      <w:bookmarkEnd w:id="4"/>
      <w:bookmarkEnd w:id="5"/>
      <w:bookmarkEnd w:id="6"/>
    </w:p>
    <w:p w14:paraId="251A863B">
      <w:pPr>
        <w:pStyle w:val="4"/>
        <w:overflowPunct w:val="0"/>
        <w:topLinePunct/>
        <w:spacing w:before="120" w:after="120"/>
        <w:rPr>
          <w:lang w:eastAsia="zh-CN"/>
        </w:rPr>
      </w:pPr>
      <w:bookmarkStart w:id="7" w:name="_Toc211857910"/>
      <w:bookmarkStart w:id="8" w:name="_Toc198216408"/>
      <w:bookmarkStart w:id="9" w:name="_Toc197781952"/>
      <w:bookmarkStart w:id="10" w:name="_Toc198216363"/>
      <w:r>
        <w:rPr>
          <w:lang w:eastAsia="zh-CN"/>
        </w:rPr>
        <w:t>1.2.1 工作过程</w:t>
      </w:r>
      <w:bookmarkEnd w:id="7"/>
      <w:bookmarkEnd w:id="8"/>
      <w:bookmarkEnd w:id="9"/>
      <w:bookmarkEnd w:id="10"/>
    </w:p>
    <w:p w14:paraId="059C4ECB">
      <w:pPr>
        <w:pStyle w:val="72"/>
        <w:shd w:val="clear" w:color="auto" w:fill="FFFFFF"/>
        <w:overflowPunct w:val="0"/>
        <w:topLinePunct/>
        <w:spacing w:before="0" w:beforeAutospacing="0" w:after="0" w:afterAutospacing="0"/>
        <w:ind w:firstLine="480"/>
        <w:rPr>
          <w:rFonts w:cs="Times New Roman"/>
          <w:color w:val="000000"/>
          <w:kern w:val="2"/>
        </w:rPr>
      </w:pPr>
      <w:r>
        <w:rPr>
          <w:rFonts w:cs="Times New Roman"/>
          <w:color w:val="000000"/>
          <w:kern w:val="2"/>
        </w:rPr>
        <w:t>本标准制定严格按</w:t>
      </w:r>
      <w:r>
        <w:t>GB/T 1.1-2020</w:t>
      </w:r>
      <w:r>
        <w:rPr>
          <w:rFonts w:hint="eastAsia"/>
        </w:rPr>
        <w:t>《标准化工作导则 第1部分：标准化文件的结构和起草规则》</w:t>
      </w:r>
      <w:r>
        <w:rPr>
          <w:rFonts w:hint="eastAsia" w:cs="Times New Roman"/>
          <w:color w:val="000000"/>
          <w:kern w:val="2"/>
        </w:rPr>
        <w:t>、</w:t>
      </w:r>
      <w:r>
        <w:rPr>
          <w:rFonts w:cs="Times New Roman"/>
          <w:color w:val="000000"/>
          <w:kern w:val="2"/>
        </w:rPr>
        <w:t>GB/T 1.2《标准化工作导则第2部分:标准中规范性技术要素内容的确定方法》</w:t>
      </w:r>
      <w:r>
        <w:rPr>
          <w:rFonts w:hint="eastAsia" w:ascii="Verdana" w:hAnsi="Verdana" w:cs="Verdana"/>
          <w:color w:val="333333"/>
          <w:shd w:val="clear" w:color="auto" w:fill="FFFFFF"/>
        </w:rPr>
        <w:t>的</w:t>
      </w:r>
      <w:r>
        <w:rPr>
          <w:rFonts w:cs="Times New Roman"/>
          <w:color w:val="000000"/>
          <w:kern w:val="2"/>
        </w:rPr>
        <w:t>要求进行。</w:t>
      </w:r>
    </w:p>
    <w:p w14:paraId="58876E8D">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2024年7月~2024年1</w:t>
      </w:r>
      <w:r>
        <w:rPr>
          <w:rFonts w:hint="eastAsia" w:cs="Times New Roman" w:eastAsiaTheme="minorEastAsia"/>
          <w:bCs/>
          <w:kern w:val="24"/>
          <w:szCs w:val="32"/>
          <w:lang w:eastAsia="zh-CN"/>
        </w:rPr>
        <w:t>0</w:t>
      </w:r>
      <w:r>
        <w:rPr>
          <w:rFonts w:cs="Times New Roman" w:eastAsiaTheme="minorEastAsia"/>
          <w:bCs/>
          <w:kern w:val="24"/>
          <w:szCs w:val="32"/>
          <w:lang w:eastAsia="zh-CN"/>
        </w:rPr>
        <w:t>月，</w:t>
      </w:r>
      <w:r>
        <w:rPr>
          <w:rFonts w:hint="eastAsia" w:cs="Times New Roman" w:eastAsiaTheme="minorEastAsia"/>
          <w:bCs/>
          <w:kern w:val="24"/>
          <w:szCs w:val="32"/>
          <w:lang w:eastAsia="zh-CN"/>
        </w:rPr>
        <w:t>主编</w:t>
      </w:r>
      <w:r>
        <w:rPr>
          <w:rFonts w:cs="Times New Roman" w:eastAsiaTheme="minorEastAsia"/>
          <w:bCs/>
          <w:kern w:val="24"/>
          <w:szCs w:val="32"/>
          <w:lang w:eastAsia="zh-CN"/>
        </w:rPr>
        <w:t>单位</w:t>
      </w:r>
      <w:r>
        <w:rPr>
          <w:rFonts w:hint="eastAsia" w:cs="Times New Roman" w:eastAsiaTheme="minorEastAsia"/>
          <w:bCs/>
          <w:kern w:val="24"/>
          <w:szCs w:val="32"/>
          <w:lang w:eastAsia="zh-CN"/>
        </w:rPr>
        <w:t>联合</w:t>
      </w:r>
      <w:r>
        <w:rPr>
          <w:rFonts w:hint="eastAsia" w:cs="Times New Roman" w:eastAsiaTheme="minorEastAsia"/>
          <w:bCs/>
          <w:kern w:val="24"/>
          <w:szCs w:val="32"/>
          <w:lang w:val="en-US" w:eastAsia="zh-CN"/>
        </w:rPr>
        <w:t>北京工商大学等</w:t>
      </w:r>
      <w:r>
        <w:rPr>
          <w:rFonts w:hint="eastAsia" w:cs="Times New Roman" w:eastAsiaTheme="minorEastAsia"/>
          <w:bCs/>
          <w:kern w:val="24"/>
          <w:szCs w:val="32"/>
          <w:lang w:eastAsia="zh-CN"/>
        </w:rPr>
        <w:t>相关参与单位共同成立了</w:t>
      </w:r>
      <w:bookmarkStart w:id="11" w:name="OLE_LINK143"/>
      <w:bookmarkStart w:id="12" w:name="OLE_LINK142"/>
      <w:r>
        <w:rPr>
          <w:rFonts w:hint="eastAsia" w:cs="Times New Roman" w:eastAsiaTheme="minorEastAsia"/>
          <w:bCs/>
          <w:kern w:val="24"/>
          <w:szCs w:val="32"/>
          <w:lang w:eastAsia="zh-CN"/>
        </w:rPr>
        <w:t>标准编制组</w:t>
      </w:r>
      <w:bookmarkEnd w:id="11"/>
      <w:bookmarkEnd w:id="12"/>
      <w:r>
        <w:rPr>
          <w:rFonts w:hint="eastAsia" w:cs="Times New Roman" w:eastAsiaTheme="minorEastAsia"/>
          <w:bCs/>
          <w:kern w:val="24"/>
          <w:szCs w:val="32"/>
          <w:lang w:eastAsia="zh-CN"/>
        </w:rPr>
        <w:t>，本标准归口单位为中国建筑材料联合会，</w:t>
      </w:r>
      <w:r>
        <w:rPr>
          <w:rFonts w:cs="Times New Roman" w:eastAsiaTheme="minorEastAsia"/>
          <w:bCs/>
          <w:kern w:val="24"/>
          <w:szCs w:val="32"/>
          <w:lang w:eastAsia="zh-CN"/>
        </w:rPr>
        <w:t>着手深入调研行业现状，并收集典型</w:t>
      </w:r>
      <w:r>
        <w:rPr>
          <w:rFonts w:hint="eastAsia" w:cs="Times New Roman" w:eastAsiaTheme="minorEastAsia"/>
          <w:bCs/>
          <w:kern w:val="24"/>
          <w:szCs w:val="32"/>
          <w:lang w:eastAsia="zh-CN"/>
        </w:rPr>
        <w:t>塑料</w:t>
      </w:r>
      <w:r>
        <w:rPr>
          <w:rFonts w:cs="Times New Roman" w:eastAsiaTheme="minorEastAsia"/>
          <w:bCs/>
          <w:kern w:val="24"/>
          <w:szCs w:val="32"/>
          <w:lang w:eastAsia="zh-CN"/>
        </w:rPr>
        <w:t>产品。</w:t>
      </w:r>
    </w:p>
    <w:p w14:paraId="5EA908E3">
      <w:pPr>
        <w:widowControl/>
        <w:overflowPunct w:val="0"/>
        <w:topLinePunct/>
        <w:ind w:firstLine="480"/>
        <w:jc w:val="both"/>
        <w:textAlignment w:val="baseline"/>
        <w:rPr>
          <w:rFonts w:cs="Times New Roman" w:eastAsiaTheme="minorEastAsia"/>
          <w:bCs/>
          <w:kern w:val="24"/>
          <w:szCs w:val="32"/>
          <w:lang w:eastAsia="zh-CN"/>
        </w:rPr>
      </w:pPr>
      <w:bookmarkStart w:id="13" w:name="OLE_LINK18"/>
      <w:bookmarkStart w:id="14" w:name="OLE_LINK17"/>
      <w:r>
        <w:rPr>
          <w:rFonts w:cs="Times New Roman" w:eastAsiaTheme="minorEastAsia"/>
          <w:bCs/>
          <w:kern w:val="24"/>
          <w:szCs w:val="32"/>
          <w:lang w:eastAsia="zh-CN"/>
        </w:rPr>
        <w:t>2024年10月，</w:t>
      </w:r>
      <w:bookmarkEnd w:id="13"/>
      <w:bookmarkEnd w:id="14"/>
      <w:r>
        <w:rPr>
          <w:rFonts w:hint="eastAsia" w:cs="Times New Roman" w:eastAsiaTheme="minorEastAsia"/>
          <w:bCs/>
          <w:kern w:val="24"/>
          <w:szCs w:val="32"/>
          <w:lang w:eastAsia="zh-CN"/>
        </w:rPr>
        <w:t>标准编制组</w:t>
      </w:r>
      <w:r>
        <w:rPr>
          <w:rFonts w:cs="Times New Roman" w:eastAsiaTheme="minorEastAsia"/>
          <w:bCs/>
          <w:kern w:val="24"/>
          <w:szCs w:val="32"/>
          <w:lang w:eastAsia="zh-CN"/>
        </w:rPr>
        <w:t>对标准草案的主要内容、技术方案进行了讨论</w:t>
      </w:r>
      <w:r>
        <w:rPr>
          <w:rFonts w:hint="eastAsia" w:cs="Times New Roman" w:eastAsiaTheme="minorEastAsia"/>
          <w:bCs/>
          <w:kern w:val="24"/>
          <w:szCs w:val="32"/>
          <w:lang w:eastAsia="zh-CN"/>
        </w:rPr>
        <w:t>，并确定了本标准编制的主导思想、基本原则、技术路线和主要工作内容，以及后续工作进度计划和验证试验等工作。</w:t>
      </w:r>
    </w:p>
    <w:p w14:paraId="0F4643EE">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2024年10月~2024年12月，</w:t>
      </w:r>
      <w:r>
        <w:rPr>
          <w:rFonts w:hint="eastAsia" w:cs="Times New Roman" w:eastAsiaTheme="minorEastAsia"/>
          <w:bCs/>
          <w:kern w:val="24"/>
          <w:szCs w:val="32"/>
          <w:lang w:eastAsia="zh-CN"/>
        </w:rPr>
        <w:t>编制组</w:t>
      </w:r>
      <w:r>
        <w:rPr>
          <w:rFonts w:cs="Times New Roman" w:eastAsiaTheme="minorEastAsia"/>
          <w:bCs/>
          <w:kern w:val="24"/>
          <w:szCs w:val="32"/>
          <w:lang w:eastAsia="zh-CN"/>
        </w:rPr>
        <w:t>按计划开展了系列验证试验。</w:t>
      </w:r>
    </w:p>
    <w:p w14:paraId="15A8B145">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2025</w:t>
      </w:r>
      <w:r>
        <w:rPr>
          <w:rFonts w:hint="eastAsia" w:cs="Times New Roman" w:eastAsiaTheme="minorEastAsia"/>
          <w:bCs/>
          <w:kern w:val="24"/>
          <w:szCs w:val="32"/>
          <w:lang w:eastAsia="zh-CN"/>
        </w:rPr>
        <w:t>年</w:t>
      </w:r>
      <w:r>
        <w:rPr>
          <w:rFonts w:cs="Times New Roman" w:eastAsiaTheme="minorEastAsia"/>
          <w:bCs/>
          <w:kern w:val="24"/>
          <w:szCs w:val="32"/>
          <w:lang w:eastAsia="zh-CN"/>
        </w:rPr>
        <w:t>1</w:t>
      </w:r>
      <w:r>
        <w:rPr>
          <w:rFonts w:hint="eastAsia" w:cs="Times New Roman" w:eastAsiaTheme="minorEastAsia"/>
          <w:bCs/>
          <w:kern w:val="24"/>
          <w:szCs w:val="32"/>
          <w:lang w:eastAsia="zh-CN"/>
        </w:rPr>
        <w:t>月，</w:t>
      </w:r>
      <w:bookmarkStart w:id="15" w:name="OLE_LINK25"/>
      <w:r>
        <w:rPr>
          <w:rFonts w:hint="eastAsia" w:cs="Times New Roman" w:eastAsiaTheme="minorEastAsia"/>
          <w:bCs/>
          <w:kern w:val="24"/>
          <w:szCs w:val="32"/>
          <w:lang w:eastAsia="zh-CN"/>
        </w:rPr>
        <w:t>编制组组织召开内部会议，针对验证实验的技术方案和测试数据进行了探讨，对其中的不足进行了深入分析，并提出了改进意见。</w:t>
      </w:r>
      <w:bookmarkEnd w:id="15"/>
    </w:p>
    <w:p w14:paraId="03A55333">
      <w:pPr>
        <w:widowControl/>
        <w:overflowPunct w:val="0"/>
        <w:topLinePunct/>
        <w:ind w:firstLine="480"/>
        <w:jc w:val="both"/>
        <w:textAlignment w:val="baseline"/>
        <w:rPr>
          <w:sz w:val="23"/>
          <w:szCs w:val="23"/>
          <w:lang w:eastAsia="zh-CN"/>
        </w:rPr>
      </w:pPr>
      <w:r>
        <w:rPr>
          <w:rFonts w:hint="eastAsia" w:cs="Times New Roman" w:eastAsiaTheme="minorEastAsia"/>
          <w:bCs/>
          <w:kern w:val="24"/>
          <w:szCs w:val="32"/>
          <w:lang w:eastAsia="zh-CN"/>
        </w:rPr>
        <w:t>2</w:t>
      </w:r>
      <w:r>
        <w:rPr>
          <w:rFonts w:cs="Times New Roman" w:eastAsiaTheme="minorEastAsia"/>
          <w:bCs/>
          <w:kern w:val="24"/>
          <w:szCs w:val="32"/>
          <w:lang w:eastAsia="zh-CN"/>
        </w:rPr>
        <w:t>025</w:t>
      </w:r>
      <w:r>
        <w:rPr>
          <w:rFonts w:hint="eastAsia" w:cs="Times New Roman" w:eastAsiaTheme="minorEastAsia"/>
          <w:bCs/>
          <w:kern w:val="24"/>
          <w:szCs w:val="32"/>
          <w:lang w:eastAsia="zh-CN"/>
        </w:rPr>
        <w:t>年</w:t>
      </w:r>
      <w:r>
        <w:rPr>
          <w:rFonts w:cs="Times New Roman" w:eastAsiaTheme="minorEastAsia"/>
          <w:bCs/>
          <w:kern w:val="24"/>
          <w:szCs w:val="32"/>
          <w:lang w:eastAsia="zh-CN"/>
        </w:rPr>
        <w:t>1</w:t>
      </w:r>
      <w:r>
        <w:rPr>
          <w:rFonts w:hint="eastAsia" w:cs="Times New Roman" w:eastAsiaTheme="minorEastAsia"/>
          <w:bCs/>
          <w:kern w:val="24"/>
          <w:szCs w:val="32"/>
          <w:lang w:eastAsia="zh-CN"/>
        </w:rPr>
        <w:t>月~</w:t>
      </w:r>
      <w:r>
        <w:rPr>
          <w:rFonts w:cs="Times New Roman" w:eastAsiaTheme="minorEastAsia"/>
          <w:bCs/>
          <w:kern w:val="24"/>
          <w:szCs w:val="32"/>
          <w:lang w:eastAsia="zh-CN"/>
        </w:rPr>
        <w:t>2025</w:t>
      </w:r>
      <w:r>
        <w:rPr>
          <w:rFonts w:hint="eastAsia" w:cs="Times New Roman" w:eastAsiaTheme="minorEastAsia"/>
          <w:bCs/>
          <w:kern w:val="24"/>
          <w:szCs w:val="32"/>
          <w:lang w:eastAsia="zh-CN"/>
        </w:rPr>
        <w:t>年</w:t>
      </w:r>
      <w:r>
        <w:rPr>
          <w:rFonts w:cs="Times New Roman" w:eastAsiaTheme="minorEastAsia"/>
          <w:bCs/>
          <w:kern w:val="24"/>
          <w:szCs w:val="32"/>
          <w:lang w:eastAsia="zh-CN"/>
        </w:rPr>
        <w:t>5</w:t>
      </w:r>
      <w:r>
        <w:rPr>
          <w:rFonts w:hint="eastAsia" w:cs="Times New Roman" w:eastAsiaTheme="minorEastAsia"/>
          <w:bCs/>
          <w:kern w:val="24"/>
          <w:szCs w:val="32"/>
          <w:lang w:eastAsia="zh-CN"/>
        </w:rPr>
        <w:t>月，编制组</w:t>
      </w:r>
      <w:r>
        <w:rPr>
          <w:rFonts w:hint="eastAsia"/>
          <w:szCs w:val="24"/>
          <w:lang w:eastAsia="zh-CN"/>
        </w:rPr>
        <w:t>组织了主编单位、北京市科学技术研究院分析测试研究所（北京市理化分析测试中心）、北京建筑材料检验研究院有限公司等</w:t>
      </w:r>
      <w:r>
        <w:rPr>
          <w:szCs w:val="24"/>
          <w:lang w:eastAsia="zh-CN"/>
        </w:rPr>
        <w:t>3</w:t>
      </w:r>
      <w:r>
        <w:rPr>
          <w:rFonts w:hint="eastAsia"/>
          <w:szCs w:val="24"/>
          <w:lang w:eastAsia="zh-CN"/>
        </w:rPr>
        <w:t>家实验室进行实验室间比对。</w:t>
      </w:r>
    </w:p>
    <w:p w14:paraId="787588AA">
      <w:pPr>
        <w:widowControl/>
        <w:overflowPunct w:val="0"/>
        <w:topLinePunct/>
        <w:ind w:firstLine="480"/>
        <w:jc w:val="both"/>
        <w:textAlignment w:val="baseline"/>
        <w:rPr>
          <w:szCs w:val="24"/>
          <w:lang w:eastAsia="zh-CN"/>
        </w:rPr>
      </w:pPr>
      <w:r>
        <w:rPr>
          <w:szCs w:val="24"/>
          <w:lang w:eastAsia="zh-CN"/>
        </w:rPr>
        <w:t>2025年6月，</w:t>
      </w:r>
      <w:r>
        <w:rPr>
          <w:rFonts w:hint="eastAsia"/>
          <w:szCs w:val="24"/>
          <w:lang w:eastAsia="zh-CN"/>
        </w:rPr>
        <w:t>编制组组织召开内部会议，针对比对实验数据进行了汇总、探讨和分析。</w:t>
      </w:r>
    </w:p>
    <w:p w14:paraId="5008EA5A">
      <w:pPr>
        <w:widowControl/>
        <w:overflowPunct w:val="0"/>
        <w:topLinePunct/>
        <w:ind w:firstLine="480"/>
        <w:jc w:val="both"/>
        <w:textAlignment w:val="baseline"/>
        <w:rPr>
          <w:rFonts w:hint="eastAsia"/>
          <w:szCs w:val="24"/>
          <w:lang w:eastAsia="zh-CN"/>
        </w:rPr>
      </w:pPr>
      <w:r>
        <w:rPr>
          <w:rFonts w:hint="eastAsia" w:cs="Times New Roman" w:eastAsiaTheme="minorEastAsia"/>
          <w:bCs/>
          <w:kern w:val="24"/>
          <w:szCs w:val="32"/>
          <w:lang w:eastAsia="zh-CN"/>
        </w:rPr>
        <w:t>2</w:t>
      </w:r>
      <w:r>
        <w:rPr>
          <w:rFonts w:cs="Times New Roman" w:eastAsiaTheme="minorEastAsia"/>
          <w:bCs/>
          <w:kern w:val="24"/>
          <w:szCs w:val="32"/>
          <w:lang w:eastAsia="zh-CN"/>
        </w:rPr>
        <w:t>025</w:t>
      </w:r>
      <w:r>
        <w:rPr>
          <w:rFonts w:hint="eastAsia" w:cs="Times New Roman" w:eastAsiaTheme="minorEastAsia"/>
          <w:bCs/>
          <w:kern w:val="24"/>
          <w:szCs w:val="32"/>
          <w:lang w:eastAsia="zh-CN"/>
        </w:rPr>
        <w:t>年</w:t>
      </w:r>
      <w:r>
        <w:rPr>
          <w:rFonts w:cs="Times New Roman" w:eastAsiaTheme="minorEastAsia"/>
          <w:bCs/>
          <w:kern w:val="24"/>
          <w:szCs w:val="32"/>
          <w:lang w:eastAsia="zh-CN"/>
        </w:rPr>
        <w:t>7</w:t>
      </w:r>
      <w:r>
        <w:rPr>
          <w:rFonts w:hint="eastAsia" w:cs="Times New Roman" w:eastAsiaTheme="minorEastAsia"/>
          <w:bCs/>
          <w:kern w:val="24"/>
          <w:szCs w:val="32"/>
          <w:lang w:eastAsia="zh-CN"/>
        </w:rPr>
        <w:t>月~</w:t>
      </w:r>
      <w:r>
        <w:rPr>
          <w:rFonts w:cs="Times New Roman" w:eastAsiaTheme="minorEastAsia"/>
          <w:bCs/>
          <w:kern w:val="24"/>
          <w:szCs w:val="32"/>
          <w:lang w:eastAsia="zh-CN"/>
        </w:rPr>
        <w:t>202</w:t>
      </w:r>
      <w:r>
        <w:rPr>
          <w:rFonts w:hint="eastAsia" w:cs="Times New Roman" w:eastAsiaTheme="minorEastAsia"/>
          <w:bCs/>
          <w:kern w:val="24"/>
          <w:szCs w:val="32"/>
          <w:lang w:eastAsia="zh-CN"/>
        </w:rPr>
        <w:t>5年</w:t>
      </w:r>
      <w:r>
        <w:rPr>
          <w:rFonts w:cs="Times New Roman" w:eastAsiaTheme="minorEastAsia"/>
          <w:bCs/>
          <w:kern w:val="24"/>
          <w:szCs w:val="32"/>
          <w:lang w:eastAsia="zh-CN"/>
        </w:rPr>
        <w:t>10</w:t>
      </w:r>
      <w:r>
        <w:rPr>
          <w:rFonts w:hint="eastAsia" w:cs="Times New Roman" w:eastAsiaTheme="minorEastAsia"/>
          <w:bCs/>
          <w:kern w:val="24"/>
          <w:szCs w:val="32"/>
          <w:lang w:eastAsia="zh-CN"/>
        </w:rPr>
        <w:t>月，</w:t>
      </w:r>
      <w:r>
        <w:rPr>
          <w:rFonts w:hint="eastAsia"/>
          <w:szCs w:val="24"/>
          <w:lang w:eastAsia="zh-CN"/>
        </w:rPr>
        <w:t>编制组补充了部分验证实验，并对标准文本的内容和格式进行了修改完善，最终完成了征求意见稿和编制说明（征求意见）。</w:t>
      </w:r>
    </w:p>
    <w:p w14:paraId="76B6183A">
      <w:pPr>
        <w:pStyle w:val="4"/>
        <w:overflowPunct w:val="0"/>
        <w:topLinePunct/>
        <w:spacing w:before="120" w:after="120"/>
        <w:rPr>
          <w:lang w:eastAsia="zh-CN"/>
        </w:rPr>
      </w:pPr>
      <w:r>
        <w:rPr>
          <w:lang w:eastAsia="zh-CN"/>
        </w:rPr>
        <w:t>1.2.</w:t>
      </w:r>
      <w:r>
        <w:rPr>
          <w:rFonts w:hint="eastAsia"/>
          <w:lang w:val="en-US" w:eastAsia="zh-CN"/>
        </w:rPr>
        <w:t>2</w:t>
      </w:r>
      <w:r>
        <w:rPr>
          <w:lang w:eastAsia="zh-CN"/>
        </w:rPr>
        <w:t xml:space="preserve"> </w:t>
      </w:r>
      <w:r>
        <w:rPr>
          <w:rFonts w:cs="Times New Roman"/>
          <w:lang w:eastAsia="zh-CN"/>
        </w:rPr>
        <w:t>主要参加单位和编制组成员及其所做的工作</w:t>
      </w:r>
    </w:p>
    <w:p w14:paraId="393DBFEF">
      <w:pPr>
        <w:widowControl/>
        <w:overflowPunct w:val="0"/>
        <w:topLinePunct/>
        <w:ind w:firstLine="480"/>
        <w:jc w:val="both"/>
        <w:textAlignment w:val="baseline"/>
        <w:rPr>
          <w:rFonts w:cs="Times New Roman" w:eastAsiaTheme="minorEastAsia"/>
          <w:bCs/>
          <w:kern w:val="24"/>
          <w:szCs w:val="32"/>
          <w:lang w:eastAsia="zh-CN"/>
        </w:rPr>
      </w:pPr>
      <w:r>
        <w:rPr>
          <w:rFonts w:cs="Times New Roman" w:eastAsiaTheme="minorEastAsia"/>
          <w:bCs/>
          <w:kern w:val="24"/>
          <w:szCs w:val="32"/>
          <w:lang w:eastAsia="zh-CN"/>
        </w:rPr>
        <w:t>为了充分体现本项目的科学性和先进性，</w:t>
      </w:r>
      <w:r>
        <w:rPr>
          <w:rFonts w:cs="Times New Roman" w:eastAsiaTheme="minorEastAsia"/>
          <w:bCs/>
          <w:kern w:val="24"/>
          <w:szCs w:val="32"/>
          <w:highlight w:val="none"/>
          <w:lang w:eastAsia="zh-CN"/>
        </w:rPr>
        <w:t>主编单位邀请了来自</w:t>
      </w:r>
      <w:r>
        <w:rPr>
          <w:rFonts w:hint="default" w:cs="Times New Roman" w:eastAsiaTheme="minorEastAsia"/>
          <w:bCs/>
          <w:kern w:val="24"/>
          <w:szCs w:val="32"/>
          <w:highlight w:val="none"/>
          <w:lang w:eastAsia="zh-CN"/>
        </w:rPr>
        <w:t>相关</w:t>
      </w:r>
      <w:r>
        <w:rPr>
          <w:rFonts w:cs="Times New Roman" w:eastAsiaTheme="minorEastAsia"/>
          <w:bCs/>
          <w:kern w:val="24"/>
          <w:szCs w:val="32"/>
          <w:highlight w:val="none"/>
          <w:lang w:eastAsia="zh-CN"/>
        </w:rPr>
        <w:t>领域的科研机构、材料研发和生产单位等多方面的代表参加本项目的制定工作。</w:t>
      </w:r>
      <w:r>
        <w:rPr>
          <w:rFonts w:cs="Times New Roman" w:eastAsiaTheme="minorEastAsia"/>
          <w:bCs/>
          <w:kern w:val="24"/>
          <w:szCs w:val="32"/>
          <w:lang w:eastAsia="zh-CN"/>
        </w:rPr>
        <w:t>为确保标准水平并考虑标准发布后的影响和声誉，被邀请的参与单位均是行业内享有较高声誉、具有良好社会形象、行业中能引领技术进步的高水平单位，</w:t>
      </w:r>
      <w:r>
        <w:rPr>
          <w:rFonts w:hint="default" w:cs="Times New Roman" w:eastAsiaTheme="minorEastAsia"/>
          <w:bCs/>
          <w:kern w:val="24"/>
          <w:szCs w:val="32"/>
          <w:lang w:eastAsia="zh-CN"/>
        </w:rPr>
        <w:t>参编单位主要情况及分工见表1。</w:t>
      </w:r>
    </w:p>
    <w:p w14:paraId="70A401E3">
      <w:pPr>
        <w:pStyle w:val="7"/>
        <w:keepNext/>
        <w:overflowPunct w:val="0"/>
        <w:topLinePunct/>
        <w:ind w:firstLine="480"/>
        <w:jc w:val="center"/>
        <w:rPr>
          <w:rFonts w:ascii="Times New Roman" w:hAnsi="Times New Roman" w:eastAsia="宋体" w:cs="Times New Roman"/>
          <w:sz w:val="24"/>
          <w:szCs w:val="21"/>
          <w:lang w:eastAsia="zh-CN"/>
        </w:rPr>
      </w:pPr>
      <w:r>
        <w:rPr>
          <w:rFonts w:hint="default" w:ascii="Times New Roman" w:hAnsi="Times New Roman" w:eastAsia="宋体" w:cs="Times New Roman"/>
          <w:sz w:val="24"/>
          <w:szCs w:val="21"/>
          <w:lang w:eastAsia="zh-CN"/>
        </w:rPr>
        <w:t>表 1</w:t>
      </w:r>
      <w:r>
        <w:rPr>
          <w:rFonts w:ascii="Times New Roman" w:hAnsi="Times New Roman" w:eastAsia="宋体" w:cs="Times New Roman"/>
          <w:sz w:val="24"/>
          <w:szCs w:val="21"/>
          <w:lang w:eastAsia="zh-CN"/>
        </w:rPr>
        <w:t>标准编制单位及其工作</w:t>
      </w:r>
    </w:p>
    <w:tbl>
      <w:tblPr>
        <w:tblStyle w:val="21"/>
        <w:tblW w:w="10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2693"/>
        <w:gridCol w:w="2711"/>
        <w:gridCol w:w="3668"/>
      </w:tblGrid>
      <w:tr w14:paraId="158F7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88" w:type="dxa"/>
            <w:shd w:val="clear" w:color="auto" w:fill="D8D8D8" w:themeFill="background1" w:themeFillShade="D9"/>
            <w:vAlign w:val="center"/>
          </w:tcPr>
          <w:p w14:paraId="226C187E">
            <w:pPr>
              <w:pStyle w:val="9"/>
              <w:widowControl/>
              <w:overflowPunct w:val="0"/>
              <w:topLinePunct/>
              <w:spacing w:line="360" w:lineRule="auto"/>
              <w:jc w:val="center"/>
              <w:rPr>
                <w:rFonts w:cs="Times New Roman"/>
                <w:kern w:val="2"/>
                <w:lang w:eastAsia="zh-CN"/>
              </w:rPr>
            </w:pPr>
            <w:r>
              <w:rPr>
                <w:rFonts w:cs="Times New Roman"/>
                <w:kern w:val="2"/>
                <w:lang w:eastAsia="zh-CN"/>
              </w:rPr>
              <w:t>序号</w:t>
            </w:r>
          </w:p>
        </w:tc>
        <w:tc>
          <w:tcPr>
            <w:tcW w:w="2693" w:type="dxa"/>
            <w:shd w:val="clear" w:color="auto" w:fill="D8D8D8" w:themeFill="background1" w:themeFillShade="D9"/>
            <w:vAlign w:val="center"/>
          </w:tcPr>
          <w:p w14:paraId="379EDD8B">
            <w:pPr>
              <w:pStyle w:val="9"/>
              <w:widowControl/>
              <w:overflowPunct w:val="0"/>
              <w:topLinePunct/>
              <w:spacing w:line="360" w:lineRule="auto"/>
              <w:jc w:val="center"/>
              <w:rPr>
                <w:rFonts w:cs="Times New Roman"/>
                <w:kern w:val="2"/>
                <w:lang w:eastAsia="zh-CN"/>
              </w:rPr>
            </w:pPr>
            <w:r>
              <w:rPr>
                <w:rFonts w:cs="Times New Roman"/>
                <w:kern w:val="2"/>
                <w:lang w:eastAsia="zh-CN"/>
              </w:rPr>
              <w:t>起草单位</w:t>
            </w:r>
          </w:p>
        </w:tc>
        <w:tc>
          <w:tcPr>
            <w:tcW w:w="2711" w:type="dxa"/>
            <w:shd w:val="clear" w:color="auto" w:fill="D8D8D8" w:themeFill="background1" w:themeFillShade="D9"/>
            <w:vAlign w:val="center"/>
          </w:tcPr>
          <w:p w14:paraId="11EB856C">
            <w:pPr>
              <w:pStyle w:val="9"/>
              <w:widowControl/>
              <w:overflowPunct w:val="0"/>
              <w:topLinePunct/>
              <w:spacing w:line="360" w:lineRule="auto"/>
              <w:jc w:val="center"/>
              <w:rPr>
                <w:rFonts w:cs="Times New Roman"/>
                <w:kern w:val="2"/>
                <w:lang w:eastAsia="zh-CN"/>
              </w:rPr>
            </w:pPr>
            <w:r>
              <w:rPr>
                <w:rFonts w:cs="Times New Roman"/>
                <w:kern w:val="2"/>
                <w:lang w:eastAsia="zh-CN"/>
              </w:rPr>
              <w:t>起草人</w:t>
            </w:r>
          </w:p>
        </w:tc>
        <w:tc>
          <w:tcPr>
            <w:tcW w:w="3668" w:type="dxa"/>
            <w:shd w:val="clear" w:color="auto" w:fill="D8D8D8" w:themeFill="background1" w:themeFillShade="D9"/>
            <w:vAlign w:val="center"/>
          </w:tcPr>
          <w:p w14:paraId="54615F23">
            <w:pPr>
              <w:pStyle w:val="9"/>
              <w:widowControl/>
              <w:overflowPunct w:val="0"/>
              <w:topLinePunct/>
              <w:spacing w:line="360" w:lineRule="auto"/>
              <w:jc w:val="center"/>
              <w:rPr>
                <w:rFonts w:cs="Times New Roman"/>
                <w:kern w:val="2"/>
                <w:lang w:eastAsia="zh-CN"/>
              </w:rPr>
            </w:pPr>
            <w:r>
              <w:rPr>
                <w:rFonts w:cs="Times New Roman"/>
                <w:kern w:val="2"/>
                <w:lang w:eastAsia="zh-CN"/>
              </w:rPr>
              <w:t>主要负责的工作</w:t>
            </w:r>
          </w:p>
        </w:tc>
      </w:tr>
      <w:tr w14:paraId="32DB3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14:paraId="333F00CE">
            <w:pPr>
              <w:pStyle w:val="9"/>
              <w:widowControl/>
              <w:numPr>
                <w:ilvl w:val="0"/>
                <w:numId w:val="11"/>
              </w:numPr>
              <w:overflowPunct w:val="0"/>
              <w:topLinePunct/>
              <w:spacing w:line="360" w:lineRule="auto"/>
              <w:jc w:val="center"/>
              <w:rPr>
                <w:rFonts w:cs="Times New Roman"/>
                <w:kern w:val="2"/>
                <w:lang w:eastAsia="zh-CN"/>
              </w:rPr>
            </w:pPr>
          </w:p>
        </w:tc>
        <w:tc>
          <w:tcPr>
            <w:tcW w:w="2693" w:type="dxa"/>
            <w:vAlign w:val="center"/>
          </w:tcPr>
          <w:p w14:paraId="26EF8C0F">
            <w:pPr>
              <w:pStyle w:val="9"/>
              <w:widowControl/>
              <w:overflowPunct w:val="0"/>
              <w:topLinePunct/>
              <w:spacing w:line="360" w:lineRule="auto"/>
              <w:jc w:val="center"/>
              <w:rPr>
                <w:rFonts w:cs="Times New Roman"/>
                <w:kern w:val="2"/>
                <w:lang w:eastAsia="zh-CN"/>
              </w:rPr>
            </w:pPr>
            <w:r>
              <w:rPr>
                <w:rFonts w:cs="Times New Roman"/>
                <w:kern w:val="2"/>
                <w:lang w:eastAsia="zh-CN"/>
              </w:rPr>
              <w:t>中国国检测试控股集团股份有限公司</w:t>
            </w:r>
          </w:p>
        </w:tc>
        <w:tc>
          <w:tcPr>
            <w:tcW w:w="2711" w:type="dxa"/>
            <w:vAlign w:val="center"/>
          </w:tcPr>
          <w:p w14:paraId="32E332EF">
            <w:pPr>
              <w:pStyle w:val="9"/>
              <w:widowControl/>
              <w:overflowPunct w:val="0"/>
              <w:topLinePunct/>
              <w:spacing w:line="360" w:lineRule="auto"/>
              <w:jc w:val="center"/>
              <w:rPr>
                <w:rFonts w:cs="Times New Roman"/>
                <w:kern w:val="2"/>
                <w:lang w:eastAsia="zh-CN"/>
              </w:rPr>
            </w:pPr>
            <w:r>
              <w:rPr>
                <w:rFonts w:hint="default" w:cs="Times New Roman"/>
                <w:kern w:val="2"/>
                <w:lang w:eastAsia="zh-CN"/>
              </w:rPr>
              <w:t>贾祺、徐晓元、郭子健、</w:t>
            </w:r>
            <w:r>
              <w:rPr>
                <w:rFonts w:hint="eastAsia" w:cs="Times New Roman"/>
                <w:kern w:val="2"/>
                <w:lang w:val="en-US" w:eastAsia="zh-CN"/>
              </w:rPr>
              <w:t>许丹、</w:t>
            </w:r>
            <w:r>
              <w:rPr>
                <w:rFonts w:hint="default" w:cs="Times New Roman"/>
                <w:kern w:val="2"/>
                <w:lang w:eastAsia="zh-CN"/>
              </w:rPr>
              <w:t>陈慧娟、</w:t>
            </w:r>
            <w:r>
              <w:rPr>
                <w:rFonts w:hint="eastAsia" w:cs="Times New Roman"/>
                <w:kern w:val="2"/>
                <w:lang w:val="en-US" w:eastAsia="zh-CN"/>
              </w:rPr>
              <w:t>刘丽娜、</w:t>
            </w:r>
            <w:r>
              <w:rPr>
                <w:rFonts w:hint="default" w:cs="Times New Roman"/>
                <w:kern w:val="2"/>
                <w:lang w:eastAsia="zh-CN"/>
              </w:rPr>
              <w:t>韩蔚、丁建军、郭中宝、关红艳</w:t>
            </w:r>
          </w:p>
        </w:tc>
        <w:tc>
          <w:tcPr>
            <w:tcW w:w="3668" w:type="dxa"/>
            <w:vAlign w:val="center"/>
          </w:tcPr>
          <w:p w14:paraId="448F74E8">
            <w:pPr>
              <w:pStyle w:val="9"/>
              <w:widowControl/>
              <w:overflowPunct w:val="0"/>
              <w:topLinePunct/>
              <w:spacing w:line="360" w:lineRule="auto"/>
              <w:jc w:val="left"/>
              <w:rPr>
                <w:rFonts w:cs="Times New Roman"/>
                <w:kern w:val="2"/>
                <w:lang w:eastAsia="zh-CN"/>
              </w:rPr>
            </w:pPr>
            <w:r>
              <w:rPr>
                <w:rFonts w:cs="Times New Roman"/>
                <w:kern w:val="2"/>
                <w:lang w:eastAsia="zh-CN"/>
              </w:rPr>
              <w:t>主要起草单位，全程负责样品的收集，分析方法的实验研究，样品测试结果的处理，标准文本、试验报告和编制说明的撰写。</w:t>
            </w:r>
          </w:p>
        </w:tc>
      </w:tr>
      <w:tr w14:paraId="46675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9" w:hRule="atLeast"/>
          <w:jc w:val="center"/>
        </w:trPr>
        <w:tc>
          <w:tcPr>
            <w:tcW w:w="988" w:type="dxa"/>
            <w:vAlign w:val="center"/>
          </w:tcPr>
          <w:p w14:paraId="15864946">
            <w:pPr>
              <w:pStyle w:val="9"/>
              <w:widowControl/>
              <w:numPr>
                <w:ilvl w:val="0"/>
                <w:numId w:val="11"/>
              </w:numPr>
              <w:overflowPunct w:val="0"/>
              <w:topLinePunct/>
              <w:spacing w:line="360" w:lineRule="auto"/>
              <w:jc w:val="center"/>
              <w:rPr>
                <w:rFonts w:cs="Times New Roman"/>
                <w:kern w:val="2"/>
                <w:lang w:eastAsia="zh-CN"/>
              </w:rPr>
            </w:pPr>
          </w:p>
        </w:tc>
        <w:tc>
          <w:tcPr>
            <w:tcW w:w="2693" w:type="dxa"/>
            <w:vAlign w:val="center"/>
          </w:tcPr>
          <w:p w14:paraId="051707BE">
            <w:pPr>
              <w:pStyle w:val="9"/>
              <w:widowControl/>
              <w:overflowPunct w:val="0"/>
              <w:topLinePunct/>
              <w:spacing w:line="360" w:lineRule="auto"/>
              <w:jc w:val="center"/>
              <w:rPr>
                <w:rFonts w:hint="default" w:cs="Times New Roman"/>
                <w:kern w:val="2"/>
                <w:lang w:val="en-US" w:eastAsia="zh-CN"/>
              </w:rPr>
            </w:pPr>
            <w:r>
              <w:rPr>
                <w:rFonts w:hint="eastAsia" w:cs="Times New Roman"/>
                <w:kern w:val="2"/>
                <w:lang w:val="en-US" w:eastAsia="zh-CN"/>
              </w:rPr>
              <w:t>北京工商大学</w:t>
            </w:r>
          </w:p>
        </w:tc>
        <w:tc>
          <w:tcPr>
            <w:tcW w:w="2711" w:type="dxa"/>
            <w:vAlign w:val="center"/>
          </w:tcPr>
          <w:p w14:paraId="6C34868F">
            <w:pPr>
              <w:pStyle w:val="9"/>
              <w:widowControl/>
              <w:overflowPunct w:val="0"/>
              <w:topLinePunct/>
              <w:spacing w:line="240" w:lineRule="auto"/>
              <w:jc w:val="center"/>
              <w:rPr>
                <w:rFonts w:cs="Times New Roman"/>
                <w:kern w:val="2"/>
                <w:lang w:eastAsia="zh-CN"/>
              </w:rPr>
            </w:pPr>
            <w:r>
              <w:rPr>
                <w:rFonts w:hint="eastAsia" w:cs="Times New Roman"/>
                <w:kern w:val="2"/>
                <w:lang w:eastAsia="zh-CN"/>
              </w:rPr>
              <w:t>刘昕彤、辛秀兰</w:t>
            </w:r>
          </w:p>
        </w:tc>
        <w:tc>
          <w:tcPr>
            <w:tcW w:w="3668" w:type="dxa"/>
            <w:vAlign w:val="center"/>
          </w:tcPr>
          <w:p w14:paraId="0686C72E">
            <w:pPr>
              <w:ind w:firstLine="0" w:firstLineChars="0"/>
              <w:jc w:val="left"/>
              <w:rPr>
                <w:rFonts w:cs="Times New Roman"/>
                <w:kern w:val="2"/>
                <w:sz w:val="21"/>
                <w:szCs w:val="21"/>
                <w:lang w:eastAsia="zh-CN"/>
              </w:rPr>
            </w:pPr>
            <w:r>
              <w:rPr>
                <w:rFonts w:hint="default" w:cs="Times New Roman"/>
                <w:kern w:val="2"/>
                <w:sz w:val="21"/>
                <w:szCs w:val="21"/>
                <w:lang w:eastAsia="zh-CN"/>
              </w:rPr>
              <w:t>为本标准提供</w:t>
            </w:r>
            <w:r>
              <w:rPr>
                <w:rFonts w:hint="eastAsia" w:cs="Times New Roman"/>
                <w:kern w:val="2"/>
                <w:sz w:val="21"/>
                <w:szCs w:val="21"/>
                <w:lang w:val="en-US" w:eastAsia="zh-CN"/>
              </w:rPr>
              <w:t>测试样品与分析方法指导</w:t>
            </w:r>
            <w:r>
              <w:rPr>
                <w:rFonts w:hint="default" w:cs="Times New Roman"/>
                <w:kern w:val="2"/>
                <w:sz w:val="21"/>
                <w:szCs w:val="21"/>
                <w:lang w:eastAsia="zh-CN"/>
              </w:rPr>
              <w:t>，负责标准相关文献及验证试验样品的搜集与分发，并对实验结果进行分析。</w:t>
            </w:r>
          </w:p>
        </w:tc>
      </w:tr>
    </w:tbl>
    <w:p w14:paraId="2A7F7CED">
      <w:pPr>
        <w:overflowPunct w:val="0"/>
        <w:topLinePunct/>
        <w:ind w:firstLine="480"/>
        <w:rPr>
          <w:rFonts w:hint="eastAsia"/>
          <w:szCs w:val="24"/>
          <w:lang w:eastAsia="zh-CN"/>
        </w:rPr>
      </w:pPr>
      <w:r>
        <w:rPr>
          <w:rFonts w:cs="Times New Roman"/>
          <w:lang w:eastAsia="zh-CN"/>
        </w:rPr>
        <w:t>另外，本工作还得到了业内其他单位的积极响应和大力支持，进一步保障了标准编制组的技术实力。以上来自不同行业和领域的单位分别从不同角度为本标准的制定提供了强大的软、硬件支撑，为顺利完成标准制定工作奠定了基础条件。</w:t>
      </w:r>
    </w:p>
    <w:p w14:paraId="4763EFFC">
      <w:pPr>
        <w:pStyle w:val="2"/>
        <w:overflowPunct w:val="0"/>
        <w:topLinePunct/>
        <w:spacing w:before="120" w:after="120"/>
        <w:rPr>
          <w:lang w:eastAsia="zh-CN"/>
        </w:rPr>
      </w:pPr>
      <w:bookmarkStart w:id="16" w:name="_Toc211857911"/>
      <w:r>
        <w:rPr>
          <w:lang w:eastAsia="zh-CN"/>
        </w:rPr>
        <w:t>2  标准编制原则和确定标准主要内容</w:t>
      </w:r>
      <w:bookmarkEnd w:id="16"/>
    </w:p>
    <w:p w14:paraId="5FFA78ED">
      <w:pPr>
        <w:pStyle w:val="3"/>
        <w:overflowPunct w:val="0"/>
        <w:topLinePunct/>
        <w:spacing w:before="120" w:after="120"/>
        <w:rPr>
          <w:lang w:eastAsia="zh-CN"/>
        </w:rPr>
      </w:pPr>
      <w:bookmarkStart w:id="17" w:name="_Toc211857912"/>
      <w:bookmarkStart w:id="18" w:name="_Toc197781956"/>
      <w:bookmarkStart w:id="19" w:name="_Toc93672643"/>
      <w:r>
        <w:rPr>
          <w:lang w:eastAsia="zh-CN"/>
        </w:rPr>
        <w:t>2.1 标准编制原则</w:t>
      </w:r>
      <w:bookmarkEnd w:id="17"/>
      <w:bookmarkEnd w:id="18"/>
      <w:bookmarkEnd w:id="19"/>
    </w:p>
    <w:p w14:paraId="26FE08E5">
      <w:pPr>
        <w:widowControl/>
        <w:overflowPunct w:val="0"/>
        <w:topLinePunct/>
        <w:ind w:firstLine="480"/>
        <w:jc w:val="both"/>
        <w:textAlignment w:val="baseline"/>
        <w:rPr>
          <w:rFonts w:cs="Times New Roman" w:eastAsiaTheme="minorEastAsia"/>
          <w:bCs/>
          <w:kern w:val="24"/>
          <w:szCs w:val="32"/>
          <w:lang w:eastAsia="zh-CN"/>
        </w:rPr>
      </w:pPr>
      <w:r>
        <w:rPr>
          <w:rFonts w:hint="eastAsia" w:cs="Times New Roman" w:eastAsiaTheme="minorEastAsia"/>
          <w:bCs/>
          <w:kern w:val="24"/>
          <w:szCs w:val="32"/>
          <w:lang w:eastAsia="zh-CN"/>
        </w:rPr>
        <w:t>科学性：本标准</w:t>
      </w:r>
      <w:r>
        <w:rPr>
          <w:rFonts w:hint="eastAsia"/>
          <w:szCs w:val="24"/>
          <w:lang w:eastAsia="zh-CN"/>
        </w:rPr>
        <w:t>建立了建筑塑料制品中合成树脂种类鉴定的红外光谱测试方法，</w:t>
      </w:r>
      <w:r>
        <w:rPr>
          <w:rFonts w:ascii="Segoe UI" w:hAnsi="Segoe UI" w:cs="Segoe UI"/>
          <w:shd w:val="clear" w:color="auto" w:fill="FFFFFF"/>
          <w:lang w:eastAsia="zh-CN"/>
        </w:rPr>
        <w:t>。该方法科学有效，在标准制定过程中，编制组开展了大量验证试验，对方法的全部内容进行了严格验证，确保方法的可靠性与准确性。</w:t>
      </w:r>
    </w:p>
    <w:p w14:paraId="1B737CA7">
      <w:pPr>
        <w:overflowPunct w:val="0"/>
        <w:topLinePunct/>
        <w:ind w:firstLine="480"/>
        <w:rPr>
          <w:szCs w:val="24"/>
          <w:lang w:eastAsia="zh-CN"/>
        </w:rPr>
      </w:pPr>
      <w:r>
        <w:rPr>
          <w:szCs w:val="24"/>
          <w:lang w:eastAsia="zh-CN"/>
        </w:rPr>
        <w:t>操作性：方法符合</w:t>
      </w:r>
      <w:r>
        <w:rPr>
          <w:rFonts w:ascii="Segoe UI" w:hAnsi="Segoe UI" w:cs="Segoe UI"/>
          <w:shd w:val="clear" w:color="auto" w:fill="FFFFFF"/>
          <w:lang w:eastAsia="zh-CN"/>
        </w:rPr>
        <w:t>我国当前检测仪器设备、试剂及材料的供应现状，无需依赖特殊或稀缺资源，可依托国内现有检测条件正常开展，具备良好的操作可行性。</w:t>
      </w:r>
    </w:p>
    <w:p w14:paraId="3881CCBD">
      <w:pPr>
        <w:widowControl/>
        <w:overflowPunct w:val="0"/>
        <w:topLinePunct/>
        <w:ind w:firstLine="480"/>
        <w:jc w:val="both"/>
        <w:textAlignment w:val="baseline"/>
        <w:rPr>
          <w:szCs w:val="24"/>
          <w:lang w:eastAsia="zh-CN"/>
        </w:rPr>
      </w:pPr>
      <w:r>
        <w:rPr>
          <w:szCs w:val="24"/>
          <w:lang w:eastAsia="zh-CN"/>
        </w:rPr>
        <w:t>适用性：</w:t>
      </w:r>
      <w:r>
        <w:rPr>
          <w:rFonts w:hint="eastAsia"/>
          <w:szCs w:val="24"/>
          <w:lang w:eastAsia="zh-CN"/>
        </w:rPr>
        <w:t>方法符合检测人员的技术水平，</w:t>
      </w:r>
      <w:r>
        <w:rPr>
          <w:rFonts w:ascii="Segoe UI" w:hAnsi="Segoe UI" w:cs="Segoe UI"/>
          <w:shd w:val="clear" w:color="auto" w:fill="FFFFFF"/>
          <w:lang w:eastAsia="zh-CN"/>
        </w:rPr>
        <w:t>测试流程步骤清晰、可操作性强，能够满足国内分析实验室的日常检测需求并达到本标准规定的技术要求，具有普遍适用性，便于在国内相关检测领域推广应用。</w:t>
      </w:r>
    </w:p>
    <w:p w14:paraId="66983FBB">
      <w:pPr>
        <w:pStyle w:val="3"/>
        <w:overflowPunct w:val="0"/>
        <w:topLinePunct/>
        <w:spacing w:before="120" w:after="120"/>
        <w:rPr>
          <w:lang w:eastAsia="zh-CN"/>
        </w:rPr>
      </w:pPr>
      <w:bookmarkStart w:id="20" w:name="_Toc197781957"/>
      <w:bookmarkStart w:id="21" w:name="_Toc211857913"/>
      <w:bookmarkStart w:id="22" w:name="_Toc114650024"/>
      <w:r>
        <w:rPr>
          <w:rFonts w:hint="eastAsia"/>
          <w:lang w:eastAsia="zh-CN"/>
        </w:rPr>
        <w:t>2.2</w:t>
      </w:r>
      <w:r>
        <w:rPr>
          <w:lang w:eastAsia="zh-CN"/>
        </w:rPr>
        <w:t xml:space="preserve"> </w:t>
      </w:r>
      <w:r>
        <w:rPr>
          <w:rFonts w:hint="eastAsia"/>
          <w:lang w:eastAsia="zh-CN"/>
        </w:rPr>
        <w:t>标准制订技术路线</w:t>
      </w:r>
      <w:bookmarkEnd w:id="20"/>
      <w:bookmarkEnd w:id="21"/>
      <w:bookmarkEnd w:id="22"/>
    </w:p>
    <w:p w14:paraId="79D1D74D">
      <w:pPr>
        <w:overflowPunct w:val="0"/>
        <w:topLinePunct/>
        <w:ind w:firstLine="480"/>
        <w:rPr>
          <w:szCs w:val="24"/>
          <w:lang w:eastAsia="zh-CN"/>
        </w:rPr>
      </w:pPr>
      <w:r>
        <w:rPr>
          <w:rFonts w:hint="eastAsia"/>
          <w:szCs w:val="24"/>
          <w:lang w:eastAsia="zh-CN"/>
        </w:rPr>
        <w:t>本标准按图4所示的技术路线进行。</w:t>
      </w:r>
    </w:p>
    <w:p w14:paraId="023D942C">
      <w:pPr>
        <w:keepNext/>
        <w:overflowPunct w:val="0"/>
        <w:topLinePunct/>
        <w:ind w:firstLine="480"/>
        <w:jc w:val="center"/>
      </w:pPr>
      <w:r>
        <w:rPr>
          <w:lang w:eastAsia="zh-CN"/>
        </w:rPr>
        <w:drawing>
          <wp:inline distT="0" distB="0" distL="0" distR="0">
            <wp:extent cx="3844290" cy="3599815"/>
            <wp:effectExtent l="0" t="0" r="3810" b="63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844800" cy="3600000"/>
                    </a:xfrm>
                    <a:prstGeom prst="rect">
                      <a:avLst/>
                    </a:prstGeom>
                    <a:noFill/>
                  </pic:spPr>
                </pic:pic>
              </a:graphicData>
            </a:graphic>
          </wp:inline>
        </w:drawing>
      </w:r>
    </w:p>
    <w:p w14:paraId="0F69FE61">
      <w:pPr>
        <w:pStyle w:val="7"/>
        <w:overflowPunct w:val="0"/>
        <w:topLinePunct/>
        <w:ind w:firstLine="480"/>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 xml:space="preserve">图 </w:t>
      </w:r>
      <w:r>
        <w:rPr>
          <w:rFonts w:ascii="Times New Roman" w:hAnsi="Times New Roman" w:eastAsia="宋体" w:cs="Times New Roman"/>
          <w:sz w:val="24"/>
          <w:szCs w:val="24"/>
          <w:lang w:eastAsia="zh-CN"/>
        </w:rPr>
        <w:t>1</w:t>
      </w:r>
      <w:r>
        <w:rPr>
          <w:rFonts w:hint="eastAsia" w:ascii="Times New Roman" w:hAnsi="Times New Roman" w:eastAsia="宋体" w:cs="Times New Roman"/>
          <w:sz w:val="24"/>
          <w:szCs w:val="24"/>
          <w:lang w:eastAsia="zh-CN"/>
        </w:rPr>
        <w:t>技术路线图</w:t>
      </w:r>
    </w:p>
    <w:p w14:paraId="70509106">
      <w:pPr>
        <w:pStyle w:val="3"/>
        <w:overflowPunct w:val="0"/>
        <w:topLinePunct/>
        <w:spacing w:before="120" w:after="120"/>
        <w:rPr>
          <w:lang w:eastAsia="zh-CN"/>
        </w:rPr>
      </w:pPr>
      <w:bookmarkStart w:id="23" w:name="_Toc197781958"/>
      <w:bookmarkStart w:id="24" w:name="_Toc211857914"/>
      <w:bookmarkStart w:id="25" w:name="_Toc93672644"/>
      <w:r>
        <w:rPr>
          <w:lang w:eastAsia="zh-CN"/>
        </w:rPr>
        <w:t>2.3 标准主要内容的说明</w:t>
      </w:r>
      <w:bookmarkEnd w:id="23"/>
      <w:bookmarkEnd w:id="24"/>
      <w:bookmarkEnd w:id="25"/>
    </w:p>
    <w:p w14:paraId="2AC1BE25">
      <w:pPr>
        <w:widowControl/>
        <w:overflowPunct w:val="0"/>
        <w:topLinePunct/>
        <w:ind w:firstLine="480"/>
        <w:jc w:val="both"/>
        <w:textAlignment w:val="baseline"/>
        <w:rPr>
          <w:rFonts w:cs="Times New Roman" w:eastAsiaTheme="minorEastAsia"/>
          <w:bCs/>
          <w:kern w:val="24"/>
          <w:szCs w:val="32"/>
          <w:lang w:eastAsia="zh-CN"/>
        </w:rPr>
      </w:pPr>
      <w:r>
        <w:rPr>
          <w:rFonts w:hint="eastAsia" w:cs="Times New Roman" w:eastAsiaTheme="minorEastAsia"/>
          <w:bCs/>
          <w:kern w:val="24"/>
          <w:szCs w:val="32"/>
          <w:lang w:eastAsia="zh-CN"/>
        </w:rPr>
        <w:t>经梳理国内外相关标准可知，我国现行聚合物鉴定相关标准主要包括 GB/T 7764-2017《橡胶鉴定 红外光谱法》与 GB/T 39699-2020《橡胶 聚合物的鉴定 裂解气相色谱-质谱法》。上述标准分别采用红外光谱法、裂解气相色谱-质谱法对橡胶材料进行聚合物鉴定，但其适用范围不涵盖塑料、纤维及部分复合材料中的聚合物鉴定。红外光谱法是鉴定塑料种类的常用方法，但按照GB/T 6040-2019《红外光谱分析方法通则》进行测试时，常规的红外光谱法对塑料制品直接测试时往往会受到无机填料和有机助剂的干扰，无法对树脂种类进行准确的鉴定。开发一套针对建筑塑料制品中合成树脂种类鉴别的红外光谱法对生产厂家、科研院所提供方法依据等方面具有重要指导意义。</w:t>
      </w:r>
    </w:p>
    <w:p w14:paraId="16AA730B">
      <w:pPr>
        <w:widowControl/>
        <w:overflowPunct w:val="0"/>
        <w:topLinePunct/>
        <w:ind w:firstLine="480"/>
        <w:jc w:val="both"/>
        <w:textAlignment w:val="baseline"/>
        <w:rPr>
          <w:rFonts w:cs="Times New Roman" w:eastAsiaTheme="minorEastAsia"/>
          <w:bCs/>
          <w:kern w:val="24"/>
          <w:szCs w:val="32"/>
          <w:lang w:eastAsia="zh-CN"/>
        </w:rPr>
      </w:pPr>
      <w:r>
        <w:rPr>
          <w:rFonts w:hint="eastAsia" w:cs="Times New Roman" w:eastAsiaTheme="minorEastAsia"/>
          <w:bCs/>
          <w:kern w:val="24"/>
          <w:szCs w:val="32"/>
          <w:lang w:eastAsia="zh-CN"/>
        </w:rPr>
        <w:t>现阶段我国标准体系中缺乏红外光谱法对建筑塑料制品中合成树脂种类鉴定，本标准通过红外光谱法鉴定其中合成树脂种类，明确了建筑塑料制品中合成树脂种类鉴定方法的原理、试验设备、试验条件、试样制备、测试步骤及结果分析等内容。重点针对不同类型建筑塑料制品的前处理方法、合成树脂特征波长作出详细规定（具体信息见标准文本），可有效排除建筑塑料制品中合成树脂种类鉴定过程中的干扰因素。</w:t>
      </w:r>
    </w:p>
    <w:p w14:paraId="2676EDFF">
      <w:pPr>
        <w:pStyle w:val="2"/>
        <w:overflowPunct w:val="0"/>
        <w:topLinePunct/>
        <w:spacing w:before="120" w:after="120"/>
        <w:rPr>
          <w:lang w:eastAsia="zh-CN"/>
        </w:rPr>
      </w:pPr>
      <w:bookmarkStart w:id="26" w:name="_Toc211857915"/>
      <w:r>
        <w:rPr>
          <w:lang w:eastAsia="zh-CN"/>
        </w:rPr>
        <w:t>3  主要试验验证情况分析</w:t>
      </w:r>
      <w:bookmarkEnd w:id="26"/>
    </w:p>
    <w:p w14:paraId="3B9528E0">
      <w:pPr>
        <w:overflowPunct w:val="0"/>
        <w:topLinePunct/>
        <w:ind w:firstLine="480"/>
        <w:rPr>
          <w:lang w:eastAsia="zh-CN"/>
        </w:rPr>
      </w:pPr>
      <w:r>
        <w:rPr>
          <w:rFonts w:hint="eastAsia"/>
          <w:lang w:eastAsia="zh-CN"/>
        </w:rPr>
        <w:t>编制组利用傅里叶红外光谱法对建筑材料</w:t>
      </w:r>
      <w:r>
        <w:rPr>
          <w:rFonts w:hint="eastAsia" w:cs="Times New Roman" w:eastAsiaTheme="minorEastAsia"/>
          <w:bCs/>
          <w:kern w:val="24"/>
          <w:szCs w:val="32"/>
          <w:lang w:eastAsia="zh-CN"/>
        </w:rPr>
        <w:t>合成树脂种类进行定性鉴别。已知</w:t>
      </w:r>
      <w:r>
        <w:rPr>
          <w:rFonts w:hint="eastAsia"/>
          <w:lang w:eastAsia="zh-CN"/>
        </w:rPr>
        <w:t>常规的红外光谱法对塑料制品直接测试时往往会受到无机填料和有机助剂的干扰，无法对树脂种类进行准确的鉴定，</w:t>
      </w:r>
      <w:r>
        <w:rPr>
          <w:rFonts w:hint="eastAsia" w:cs="Times New Roman" w:eastAsiaTheme="minorEastAsia"/>
          <w:bCs/>
          <w:kern w:val="24"/>
          <w:szCs w:val="32"/>
          <w:lang w:eastAsia="zh-CN"/>
        </w:rPr>
        <w:t>下面介绍了针对不同试样进行不同的试样前处理，再利用红外光谱进行定性分析</w:t>
      </w:r>
      <w:r>
        <w:rPr>
          <w:lang w:eastAsia="zh-CN"/>
        </w:rPr>
        <w:t>。</w:t>
      </w:r>
    </w:p>
    <w:p w14:paraId="7A62BD24">
      <w:pPr>
        <w:pStyle w:val="3"/>
        <w:overflowPunct w:val="0"/>
        <w:topLinePunct/>
        <w:spacing w:before="120" w:after="120"/>
        <w:rPr>
          <w:lang w:eastAsia="zh-CN"/>
        </w:rPr>
      </w:pPr>
      <w:bookmarkStart w:id="27" w:name="_Toc211857916"/>
      <w:r>
        <w:rPr>
          <w:rFonts w:hint="eastAsia"/>
          <w:lang w:eastAsia="zh-CN"/>
        </w:rPr>
        <w:t>3</w:t>
      </w:r>
      <w:r>
        <w:rPr>
          <w:lang w:eastAsia="zh-CN"/>
        </w:rPr>
        <w:t xml:space="preserve">.1 </w:t>
      </w:r>
      <w:r>
        <w:rPr>
          <w:rFonts w:hint="eastAsia"/>
          <w:lang w:eastAsia="zh-CN"/>
        </w:rPr>
        <w:t>试验仪器设备</w:t>
      </w:r>
      <w:bookmarkEnd w:id="27"/>
    </w:p>
    <w:p w14:paraId="612545A4">
      <w:pPr>
        <w:overflowPunct w:val="0"/>
        <w:topLinePunct/>
        <w:ind w:firstLine="0" w:firstLineChars="0"/>
        <w:rPr>
          <w:lang w:eastAsia="zh-CN"/>
        </w:rPr>
      </w:pPr>
      <w:bookmarkStart w:id="28" w:name="OLE_LINK5"/>
      <w:bookmarkStart w:id="29" w:name="OLE_LINK6"/>
      <w:r>
        <w:rPr>
          <w:rFonts w:hint="eastAsia"/>
          <w:lang w:eastAsia="zh-CN"/>
        </w:rPr>
        <w:t>（1）傅里叶变换红外光谱仪</w:t>
      </w:r>
      <w:bookmarkEnd w:id="28"/>
      <w:bookmarkEnd w:id="29"/>
      <w:r>
        <w:rPr>
          <w:rFonts w:hint="eastAsia"/>
          <w:lang w:eastAsia="zh-CN"/>
        </w:rPr>
        <w:t>（</w:t>
      </w:r>
      <w:r>
        <w:rPr>
          <w:lang w:eastAsia="zh-CN"/>
        </w:rPr>
        <w:t>FTIR</w:t>
      </w:r>
      <w:r>
        <w:rPr>
          <w:rFonts w:hint="eastAsia"/>
          <w:lang w:eastAsia="zh-CN"/>
        </w:rPr>
        <w:t>）</w:t>
      </w:r>
    </w:p>
    <w:p w14:paraId="4A9A4A92">
      <w:pPr>
        <w:overflowPunct w:val="0"/>
        <w:topLinePunct/>
        <w:ind w:firstLine="480"/>
        <w:rPr>
          <w:lang w:eastAsia="zh-CN"/>
        </w:rPr>
      </w:pPr>
      <w:r>
        <w:rPr>
          <w:rFonts w:hint="eastAsia"/>
          <w:lang w:eastAsia="zh-CN"/>
        </w:rPr>
        <w:t>傅里叶变换红外光谱仪主要由红外光源、光阑、干涉仪（</w:t>
      </w:r>
      <w:r>
        <w:rPr>
          <w:lang w:eastAsia="zh-CN"/>
        </w:rPr>
        <w:t>分束器、动镜、定镜</w:t>
      </w:r>
      <w:r>
        <w:rPr>
          <w:rFonts w:hint="eastAsia"/>
          <w:lang w:eastAsia="zh-CN"/>
        </w:rPr>
        <w:t>）</w:t>
      </w:r>
      <w:r>
        <w:rPr>
          <w:lang w:eastAsia="zh-CN"/>
        </w:rPr>
        <w:t>、样品室、检测器以及各种红外反射镜、激光器、控制电路板和电源组成</w:t>
      </w:r>
      <w:r>
        <w:rPr>
          <w:rFonts w:hint="eastAsia"/>
          <w:lang w:eastAsia="zh-CN"/>
        </w:rPr>
        <w:t>，</w:t>
      </w:r>
      <w:r>
        <w:rPr>
          <w:lang w:eastAsia="zh-CN"/>
        </w:rPr>
        <w:t>波数范围为4000 cm</w:t>
      </w:r>
      <w:r>
        <w:rPr>
          <w:vertAlign w:val="superscript"/>
          <w:lang w:eastAsia="zh-CN"/>
        </w:rPr>
        <w:t>-1</w:t>
      </w:r>
      <w:r>
        <w:rPr>
          <w:lang w:eastAsia="zh-CN"/>
        </w:rPr>
        <w:t>~400 cm</w:t>
      </w:r>
      <w:r>
        <w:rPr>
          <w:vertAlign w:val="superscript"/>
          <w:lang w:eastAsia="zh-CN"/>
        </w:rPr>
        <w:t>-1</w:t>
      </w:r>
      <w:r>
        <w:rPr>
          <w:lang w:eastAsia="zh-CN"/>
        </w:rPr>
        <w:t>，光谱分辨率为4 cm</w:t>
      </w:r>
      <w:r>
        <w:rPr>
          <w:vertAlign w:val="superscript"/>
          <w:lang w:eastAsia="zh-CN"/>
        </w:rPr>
        <w:t>-1</w:t>
      </w:r>
      <w:r>
        <w:rPr>
          <w:lang w:eastAsia="zh-CN"/>
        </w:rPr>
        <w:t>或更高，配有反射晶体（例如金刚石、ZnSe、Ge）的ATR附件。</w:t>
      </w:r>
      <w:r>
        <w:rPr>
          <w:rFonts w:hint="eastAsia"/>
          <w:lang w:eastAsia="zh-CN"/>
        </w:rPr>
        <w:t>在本标准中主要用于</w:t>
      </w:r>
      <w:r>
        <w:rPr>
          <w:rFonts w:hint="eastAsia" w:cs="Times New Roman" w:eastAsiaTheme="minorEastAsia"/>
          <w:bCs/>
          <w:kern w:val="24"/>
          <w:szCs w:val="32"/>
          <w:lang w:eastAsia="zh-CN"/>
        </w:rPr>
        <w:t>塑料制品中合成树脂种类的定性鉴别</w:t>
      </w:r>
      <w:r>
        <w:rPr>
          <w:rFonts w:hint="eastAsia"/>
          <w:lang w:eastAsia="zh-CN"/>
        </w:rPr>
        <w:t>。</w:t>
      </w:r>
    </w:p>
    <w:p w14:paraId="7F6A6A65">
      <w:pPr>
        <w:overflowPunct w:val="0"/>
        <w:topLinePunct/>
        <w:ind w:firstLine="0" w:firstLineChars="0"/>
        <w:rPr>
          <w:lang w:eastAsia="zh-CN"/>
        </w:rPr>
      </w:pPr>
      <w:r>
        <w:rPr>
          <w:rFonts w:hint="eastAsia"/>
          <w:lang w:eastAsia="zh-CN"/>
        </w:rPr>
        <w:t>（2）压片机</w:t>
      </w:r>
    </w:p>
    <w:p w14:paraId="1C3D4E85">
      <w:pPr>
        <w:spacing w:line="240" w:lineRule="auto"/>
        <w:ind w:firstLine="480"/>
        <w:rPr>
          <w:lang w:eastAsia="zh-CN"/>
        </w:rPr>
      </w:pPr>
      <w:r>
        <w:rPr>
          <w:rFonts w:hint="eastAsia"/>
          <w:lang w:eastAsia="zh-CN"/>
        </w:rPr>
        <w:t>带有加热附件，可用于塑料制品的热压成膜。</w:t>
      </w:r>
    </w:p>
    <w:p w14:paraId="7A760642">
      <w:pPr>
        <w:pStyle w:val="3"/>
        <w:overflowPunct w:val="0"/>
        <w:topLinePunct/>
        <w:spacing w:before="120" w:after="120"/>
        <w:rPr>
          <w:lang w:eastAsia="zh-CN"/>
        </w:rPr>
      </w:pPr>
      <w:bookmarkStart w:id="30" w:name="_Toc211857917"/>
      <w:r>
        <w:rPr>
          <w:rFonts w:hint="eastAsia"/>
          <w:lang w:eastAsia="zh-CN"/>
        </w:rPr>
        <w:t>3</w:t>
      </w:r>
      <w:r>
        <w:rPr>
          <w:lang w:eastAsia="zh-CN"/>
        </w:rPr>
        <w:t xml:space="preserve">.2 </w:t>
      </w:r>
      <w:r>
        <w:rPr>
          <w:rFonts w:hint="eastAsia"/>
          <w:lang w:eastAsia="zh-CN"/>
        </w:rPr>
        <w:t>原理</w:t>
      </w:r>
      <w:bookmarkEnd w:id="30"/>
    </w:p>
    <w:p w14:paraId="1BEE0C73">
      <w:pPr>
        <w:overflowPunct w:val="0"/>
        <w:topLinePunct/>
        <w:ind w:firstLine="0" w:firstLineChars="0"/>
        <w:rPr>
          <w:lang w:eastAsia="zh-CN"/>
        </w:rPr>
      </w:pPr>
      <w:r>
        <w:rPr>
          <w:rFonts w:hint="eastAsia"/>
          <w:lang w:eastAsia="zh-CN"/>
        </w:rPr>
        <w:t>（1）衰减全反射法（ATR）</w:t>
      </w:r>
    </w:p>
    <w:p w14:paraId="74EFBAC3">
      <w:pPr>
        <w:overflowPunct w:val="0"/>
        <w:topLinePunct/>
        <w:ind w:firstLine="480"/>
        <w:rPr>
          <w:lang w:eastAsia="zh-CN"/>
        </w:rPr>
      </w:pPr>
      <w:r>
        <w:rPr>
          <w:rFonts w:hint="eastAsia"/>
          <w:lang w:eastAsia="zh-CN"/>
        </w:rPr>
        <w:t>本方法直接应用于塑料制品的分析，用于高吸收样品或样品表面的测定。红外光以大于临界角的角度入射到紧贴在样品表面的高折射指数晶体时，由于样品折光指数低于晶体，发生全反射，红外光只进入样品极浅的表层，只有某些频率被吸收，测量这一被衰减了的辐射即得到样品的衰减全反射光谱。增塑剂、阻燃剂或无机填料的存在可能影响衰减全反射法的光谱分析。</w:t>
      </w:r>
    </w:p>
    <w:p w14:paraId="0BF9A240">
      <w:pPr>
        <w:overflowPunct w:val="0"/>
        <w:topLinePunct/>
        <w:ind w:firstLine="0" w:firstLineChars="0"/>
        <w:rPr>
          <w:lang w:eastAsia="zh-CN"/>
        </w:rPr>
      </w:pPr>
      <w:r>
        <w:rPr>
          <w:rFonts w:hint="eastAsia"/>
          <w:lang w:eastAsia="zh-CN"/>
        </w:rPr>
        <w:t>（</w:t>
      </w:r>
      <w:r>
        <w:rPr>
          <w:lang w:eastAsia="zh-CN"/>
        </w:rPr>
        <w:t>2</w:t>
      </w:r>
      <w:r>
        <w:rPr>
          <w:rFonts w:hint="eastAsia"/>
          <w:lang w:eastAsia="zh-CN"/>
        </w:rPr>
        <w:t>）透射分析法</w:t>
      </w:r>
    </w:p>
    <w:p w14:paraId="2D25CBAF">
      <w:pPr>
        <w:overflowPunct w:val="0"/>
        <w:topLinePunct/>
        <w:ind w:firstLine="480"/>
        <w:rPr>
          <w:lang w:eastAsia="zh-CN"/>
        </w:rPr>
      </w:pPr>
      <w:r>
        <w:rPr>
          <w:rFonts w:hint="eastAsia"/>
          <w:lang w:eastAsia="zh-CN"/>
        </w:rPr>
        <w:t>本方法</w:t>
      </w:r>
      <w:r>
        <w:rPr>
          <w:lang w:eastAsia="zh-CN"/>
        </w:rPr>
        <w:t>基于分子对红外光的选择性吸收特性，通过测量红外光穿过样品后</w:t>
      </w:r>
      <w:r>
        <w:rPr>
          <w:rFonts w:hint="eastAsia"/>
          <w:lang w:eastAsia="zh-CN"/>
        </w:rPr>
        <w:t>不同频率</w:t>
      </w:r>
      <w:r>
        <w:rPr>
          <w:lang w:eastAsia="zh-CN"/>
        </w:rPr>
        <w:t>光的透射强度变化</w:t>
      </w:r>
      <w:r>
        <w:rPr>
          <w:rFonts w:hint="eastAsia"/>
          <w:lang w:eastAsia="zh-CN"/>
        </w:rPr>
        <w:t>得到样品的红外透射光谱，</w:t>
      </w:r>
      <w:r>
        <w:rPr>
          <w:lang w:eastAsia="zh-CN"/>
        </w:rPr>
        <w:t>获取</w:t>
      </w:r>
      <w:r>
        <w:rPr>
          <w:rFonts w:hint="eastAsia"/>
          <w:lang w:eastAsia="zh-CN"/>
        </w:rPr>
        <w:t>合成树脂高</w:t>
      </w:r>
      <w:r>
        <w:rPr>
          <w:lang w:eastAsia="zh-CN"/>
        </w:rPr>
        <w:t>分子结构信息</w:t>
      </w:r>
      <w:r>
        <w:rPr>
          <w:rFonts w:hint="eastAsia"/>
          <w:lang w:eastAsia="zh-CN"/>
        </w:rPr>
        <w:t>。适用于可经溴化钾压片、熔融制膜、溶剂涂膜等方式进行制样的塑料制品。</w:t>
      </w:r>
    </w:p>
    <w:p w14:paraId="606CB873">
      <w:pPr>
        <w:pStyle w:val="3"/>
        <w:overflowPunct w:val="0"/>
        <w:topLinePunct/>
        <w:spacing w:before="120" w:after="120"/>
        <w:rPr>
          <w:lang w:eastAsia="zh-CN"/>
        </w:rPr>
      </w:pPr>
      <w:bookmarkStart w:id="31" w:name="_Toc211857918"/>
      <w:r>
        <w:rPr>
          <w:rFonts w:hint="eastAsia"/>
          <w:lang w:eastAsia="zh-CN"/>
        </w:rPr>
        <w:t>3</w:t>
      </w:r>
      <w:r>
        <w:rPr>
          <w:lang w:eastAsia="zh-CN"/>
        </w:rPr>
        <w:t xml:space="preserve">.3 </w:t>
      </w:r>
      <w:r>
        <w:rPr>
          <w:rFonts w:hint="eastAsia"/>
          <w:lang w:eastAsia="zh-CN"/>
        </w:rPr>
        <w:t>试样前处理</w:t>
      </w:r>
      <w:bookmarkEnd w:id="31"/>
    </w:p>
    <w:p w14:paraId="45ED1062">
      <w:pPr>
        <w:overflowPunct w:val="0"/>
        <w:topLinePunct/>
        <w:ind w:firstLine="0" w:firstLineChars="0"/>
        <w:rPr>
          <w:lang w:eastAsia="zh-CN"/>
        </w:rPr>
      </w:pPr>
      <w:r>
        <w:rPr>
          <w:rFonts w:hint="eastAsia"/>
          <w:lang w:eastAsia="zh-CN"/>
        </w:rPr>
        <w:t>（1）机械分离</w:t>
      </w:r>
    </w:p>
    <w:p w14:paraId="329A5C10">
      <w:pPr>
        <w:overflowPunct w:val="0"/>
        <w:topLinePunct/>
        <w:ind w:firstLine="480"/>
        <w:rPr>
          <w:lang w:eastAsia="zh-CN"/>
        </w:rPr>
      </w:pPr>
      <w:r>
        <w:rPr>
          <w:rFonts w:hint="eastAsia"/>
          <w:lang w:eastAsia="zh-CN"/>
        </w:rPr>
        <w:t>目视或将待测样品置于放大镜下，用针或刀片进行待测部位的剥离或分离。被分离出的待测部位，如附着灰尘或胶水等物，可用蒸馏水或有机溶剂清洗。试样经机械剥离后再用液氮液氮冷冻或机械破碎的方式碎成粉末，过筛后在研钵中与溴化钾混合，研磨均匀，使用压片装置，压制成透明片状，使用透射分析法进行测试。或者直接将样品待测的部位紧贴在ATR晶体上，使样品与晶体充分接触，再利用红外光谱的A</w:t>
      </w:r>
      <w:r>
        <w:rPr>
          <w:lang w:eastAsia="zh-CN"/>
        </w:rPr>
        <w:t>TR</w:t>
      </w:r>
      <w:r>
        <w:rPr>
          <w:rFonts w:hint="eastAsia"/>
          <w:lang w:eastAsia="zh-CN"/>
        </w:rPr>
        <w:t>附件进行定性测试。或者将试样进行热压成薄膜，使用透射分析法或A</w:t>
      </w:r>
      <w:r>
        <w:rPr>
          <w:lang w:eastAsia="zh-CN"/>
        </w:rPr>
        <w:t>TR</w:t>
      </w:r>
      <w:r>
        <w:rPr>
          <w:rFonts w:hint="eastAsia"/>
          <w:lang w:eastAsia="zh-CN"/>
        </w:rPr>
        <w:t>法进行分析测试。</w:t>
      </w:r>
    </w:p>
    <w:p w14:paraId="66CAB132">
      <w:pPr>
        <w:overflowPunct w:val="0"/>
        <w:topLinePunct/>
        <w:ind w:firstLine="0" w:firstLineChars="0"/>
        <w:rPr>
          <w:lang w:eastAsia="zh-CN"/>
        </w:rPr>
      </w:pPr>
      <w:r>
        <w:rPr>
          <w:rFonts w:hint="eastAsia"/>
          <w:lang w:eastAsia="zh-CN"/>
        </w:rPr>
        <w:t>（2）溶解分离</w:t>
      </w:r>
    </w:p>
    <w:p w14:paraId="5469D8C0">
      <w:pPr>
        <w:overflowPunct w:val="0"/>
        <w:topLinePunct/>
        <w:ind w:firstLine="480"/>
        <w:rPr>
          <w:lang w:eastAsia="zh-CN"/>
        </w:rPr>
      </w:pPr>
      <w:r>
        <w:rPr>
          <w:rFonts w:hint="eastAsia"/>
          <w:lang w:eastAsia="zh-CN"/>
        </w:rPr>
        <w:t>有丙酮、三氯甲烷等有机溶剂可以在一定条件下将塑料制品中的助剂和树脂组分溶解，经溶剂抽出、溶解等过程，通过离心和沉淀分离可得到含有待测树脂组分的溶液。试样经溶解分离法得到待测树脂组分的溶液，将其在溴化钾等具有红外透过性的窗片上，烘干后得到薄膜，或者将得到的待测树脂组分溶液中溶剂进行挥干，再利用红外光谱的A</w:t>
      </w:r>
      <w:r>
        <w:rPr>
          <w:lang w:eastAsia="zh-CN"/>
        </w:rPr>
        <w:t>TR</w:t>
      </w:r>
      <w:r>
        <w:rPr>
          <w:rFonts w:hint="eastAsia"/>
          <w:lang w:eastAsia="zh-CN"/>
        </w:rPr>
        <w:t>附件进行定性测试。</w:t>
      </w:r>
    </w:p>
    <w:p w14:paraId="70F13CDD">
      <w:pPr>
        <w:overflowPunct w:val="0"/>
        <w:topLinePunct/>
        <w:ind w:firstLine="0" w:firstLineChars="0"/>
        <w:rPr>
          <w:b/>
          <w:bCs/>
          <w:kern w:val="24"/>
          <w:szCs w:val="32"/>
          <w:lang w:eastAsia="zh-CN"/>
        </w:rPr>
      </w:pPr>
      <w:r>
        <w:rPr>
          <w:rFonts w:hint="eastAsia"/>
          <w:lang w:eastAsia="zh-CN"/>
        </w:rPr>
        <w:t>（</w:t>
      </w:r>
      <w:r>
        <w:rPr>
          <w:lang w:eastAsia="zh-CN"/>
        </w:rPr>
        <w:t>3</w:t>
      </w:r>
      <w:r>
        <w:rPr>
          <w:rFonts w:hint="eastAsia"/>
          <w:lang w:eastAsia="zh-CN"/>
        </w:rPr>
        <w:t>）热解分离</w:t>
      </w:r>
    </w:p>
    <w:p w14:paraId="71B8E457">
      <w:pPr>
        <w:overflowPunct w:val="0"/>
        <w:topLinePunct/>
        <w:ind w:firstLine="480"/>
        <w:rPr>
          <w:lang w:eastAsia="zh-CN"/>
        </w:rPr>
      </w:pPr>
      <w:r>
        <w:rPr>
          <w:rFonts w:hint="eastAsia"/>
          <w:lang w:eastAsia="zh-CN"/>
        </w:rPr>
        <w:t>适用于含大量填料的塑料制品、固化的塑料制品等难以用常规方法分离的样品，可采用干馏法和控温热解法进行热解分离，得到的热解油再利用红外光谱的透射分析法进行定性测试。</w:t>
      </w:r>
    </w:p>
    <w:p w14:paraId="60714799">
      <w:pPr>
        <w:pStyle w:val="3"/>
        <w:overflowPunct w:val="0"/>
        <w:topLinePunct/>
        <w:spacing w:before="120" w:after="120"/>
        <w:rPr>
          <w:lang w:eastAsia="zh-CN"/>
        </w:rPr>
      </w:pPr>
      <w:bookmarkStart w:id="32" w:name="_Toc211857919"/>
      <w:r>
        <w:rPr>
          <w:rFonts w:hint="eastAsia"/>
          <w:lang w:eastAsia="zh-CN"/>
        </w:rPr>
        <w:t>3</w:t>
      </w:r>
      <w:r>
        <w:rPr>
          <w:lang w:eastAsia="zh-CN"/>
        </w:rPr>
        <w:t xml:space="preserve">.4 </w:t>
      </w:r>
      <w:r>
        <w:rPr>
          <w:rFonts w:hint="eastAsia"/>
          <w:lang w:eastAsia="zh-CN"/>
        </w:rPr>
        <w:t>试样测试</w:t>
      </w:r>
      <w:bookmarkEnd w:id="32"/>
    </w:p>
    <w:p w14:paraId="72B8A9B6">
      <w:pPr>
        <w:overflowPunct w:val="0"/>
        <w:topLinePunct/>
        <w:ind w:firstLine="480"/>
        <w:rPr>
          <w:lang w:eastAsia="zh-CN"/>
        </w:rPr>
      </w:pPr>
      <w:r>
        <w:rPr>
          <w:lang w:eastAsia="zh-CN"/>
        </w:rPr>
        <w:t>红外光谱仪的校正与测定操作按照GB/T 6040-2019中6.2和6.3的规定进行。检测参数参考条件如下：</w:t>
      </w:r>
    </w:p>
    <w:p w14:paraId="3153A0AE">
      <w:pPr>
        <w:overflowPunct w:val="0"/>
        <w:topLinePunct/>
        <w:ind w:firstLine="480"/>
        <w:rPr>
          <w:lang w:eastAsia="zh-CN"/>
        </w:rPr>
      </w:pPr>
      <w:r>
        <w:rPr>
          <w:lang w:eastAsia="zh-CN"/>
        </w:rPr>
        <w:t>分辨率：4 cm-1；</w:t>
      </w:r>
    </w:p>
    <w:p w14:paraId="70480CE6">
      <w:pPr>
        <w:overflowPunct w:val="0"/>
        <w:topLinePunct/>
        <w:ind w:firstLine="480"/>
        <w:rPr>
          <w:lang w:eastAsia="zh-CN"/>
        </w:rPr>
      </w:pPr>
      <w:r>
        <w:rPr>
          <w:rFonts w:hint="eastAsia"/>
          <w:lang w:eastAsia="zh-CN"/>
        </w:rPr>
        <w:t>根据需要设置扫描次数，一般不低于16次；</w:t>
      </w:r>
    </w:p>
    <w:p w14:paraId="554C3A9D">
      <w:pPr>
        <w:overflowPunct w:val="0"/>
        <w:topLinePunct/>
        <w:ind w:firstLine="480"/>
        <w:rPr>
          <w:lang w:eastAsia="zh-CN"/>
        </w:rPr>
      </w:pPr>
      <w:r>
        <w:rPr>
          <w:rFonts w:hint="eastAsia"/>
          <w:lang w:eastAsia="zh-CN"/>
        </w:rPr>
        <w:t>扫描波数范围根据仪器性能和样品需测定的光谱范围而确定，一般衰减全反射法的扫描波数范围为</w:t>
      </w:r>
      <w:r>
        <w:rPr>
          <w:lang w:eastAsia="zh-CN"/>
        </w:rPr>
        <w:t>4000 cm-1~600 cm-1</w:t>
      </w:r>
      <w:r>
        <w:rPr>
          <w:rFonts w:hint="eastAsia"/>
          <w:lang w:eastAsia="zh-CN"/>
        </w:rPr>
        <w:t>，透射分析法的扫描波数范围为</w:t>
      </w:r>
      <w:r>
        <w:rPr>
          <w:lang w:eastAsia="zh-CN"/>
        </w:rPr>
        <w:t>4000 cm-1~400 cm-1</w:t>
      </w:r>
      <w:r>
        <w:rPr>
          <w:rFonts w:hint="eastAsia"/>
          <w:lang w:eastAsia="zh-CN"/>
        </w:rPr>
        <w:t>。</w:t>
      </w:r>
    </w:p>
    <w:p w14:paraId="6FED7BD8">
      <w:pPr>
        <w:overflowPunct w:val="0"/>
        <w:topLinePunct/>
        <w:ind w:firstLine="480"/>
        <w:rPr>
          <w:lang w:eastAsia="zh-CN"/>
        </w:rPr>
      </w:pPr>
      <w:r>
        <w:rPr>
          <w:rFonts w:hint="eastAsia" w:ascii="宋体" w:hAnsi="宋体"/>
          <w:lang w:eastAsia="zh-CN"/>
        </w:rPr>
        <w:t>样品分离和制备的形态选择不同的测试方法进行试验，溴化钾压片和薄膜优先选择透射分析法进行测试。</w:t>
      </w:r>
    </w:p>
    <w:p w14:paraId="52E9F55F">
      <w:pPr>
        <w:pStyle w:val="3"/>
        <w:overflowPunct w:val="0"/>
        <w:topLinePunct/>
        <w:spacing w:before="120" w:after="120"/>
        <w:rPr>
          <w:lang w:eastAsia="zh-CN"/>
        </w:rPr>
      </w:pPr>
      <w:bookmarkStart w:id="33" w:name="_Toc211857920"/>
      <w:r>
        <w:rPr>
          <w:rFonts w:hint="eastAsia"/>
          <w:lang w:eastAsia="zh-CN"/>
        </w:rPr>
        <w:t>3</w:t>
      </w:r>
      <w:r>
        <w:rPr>
          <w:lang w:eastAsia="zh-CN"/>
        </w:rPr>
        <w:t xml:space="preserve">.5 </w:t>
      </w:r>
      <w:r>
        <w:rPr>
          <w:rFonts w:hint="eastAsia"/>
          <w:lang w:eastAsia="zh-CN"/>
        </w:rPr>
        <w:t>结果分析</w:t>
      </w:r>
      <w:bookmarkEnd w:id="33"/>
    </w:p>
    <w:p w14:paraId="4083D8F4">
      <w:pPr>
        <w:overflowPunct w:val="0"/>
        <w:topLinePunct/>
        <w:ind w:firstLine="480"/>
        <w:rPr>
          <w:lang w:eastAsia="zh-CN"/>
        </w:rPr>
      </w:pPr>
      <w:r>
        <w:rPr>
          <w:rFonts w:hint="eastAsia"/>
          <w:lang w:eastAsia="zh-CN"/>
        </w:rPr>
        <w:t>将待测试样的红外光谱图与相关树脂的标准红外光谱图进行对比，确定树脂的类型。</w:t>
      </w:r>
    </w:p>
    <w:p w14:paraId="6EAB5F42">
      <w:pPr>
        <w:overflowPunct w:val="0"/>
        <w:topLinePunct/>
        <w:ind w:firstLine="0" w:firstLineChars="0"/>
        <w:rPr>
          <w:lang w:eastAsia="zh-CN"/>
        </w:rPr>
      </w:pPr>
      <w:r>
        <w:rPr>
          <w:rFonts w:hint="eastAsia"/>
          <w:lang w:eastAsia="zh-CN"/>
        </w:rPr>
        <w:t>典型的建筑塑料制品常用树脂的红外光谱图及红外吸收特性分别如图</w:t>
      </w:r>
      <w:r>
        <w:rPr>
          <w:lang w:eastAsia="zh-CN"/>
        </w:rPr>
        <w:t>2</w:t>
      </w:r>
      <w:r>
        <w:rPr>
          <w:rFonts w:hint="eastAsia"/>
          <w:lang w:eastAsia="zh-CN"/>
        </w:rPr>
        <w:t>～图</w:t>
      </w:r>
      <w:r>
        <w:rPr>
          <w:lang w:eastAsia="zh-CN"/>
        </w:rPr>
        <w:t>15</w:t>
      </w:r>
      <w:r>
        <w:rPr>
          <w:rFonts w:hint="eastAsia"/>
          <w:lang w:eastAsia="zh-CN"/>
        </w:rPr>
        <w:t>。</w:t>
      </w:r>
    </w:p>
    <w:p w14:paraId="13E55788">
      <w:pPr>
        <w:overflowPunct w:val="0"/>
        <w:topLinePunct/>
        <w:ind w:firstLine="480"/>
        <w:rPr>
          <w:b/>
          <w:bCs/>
          <w:kern w:val="24"/>
          <w:szCs w:val="32"/>
          <w:lang w:eastAsia="zh-CN"/>
        </w:rPr>
      </w:pPr>
      <w:r>
        <w:rPr>
          <w:lang w:eastAsia="zh-CN"/>
        </w:rPr>
        <w:t>试验验证情况</w:t>
      </w:r>
      <w:r>
        <w:rPr>
          <w:rFonts w:hint="eastAsia"/>
          <w:lang w:eastAsia="zh-CN"/>
        </w:rPr>
        <w:t>具体</w:t>
      </w:r>
      <w:r>
        <w:rPr>
          <w:lang w:eastAsia="zh-CN"/>
        </w:rPr>
        <w:t>见附件1《验证试验报告》。</w:t>
      </w:r>
    </w:p>
    <w:p w14:paraId="5891FDBA">
      <w:pPr>
        <w:keepNext/>
        <w:widowControl/>
        <w:overflowPunct w:val="0"/>
        <w:topLinePunct/>
        <w:autoSpaceDE w:val="0"/>
        <w:autoSpaceDN w:val="0"/>
        <w:ind w:firstLine="480"/>
        <w:jc w:val="center"/>
      </w:pPr>
      <w:r>
        <w:rPr>
          <w:lang w:eastAsia="zh-CN"/>
        </w:rPr>
        <w:drawing>
          <wp:inline distT="0" distB="0" distL="0" distR="0">
            <wp:extent cx="4572000" cy="2879725"/>
            <wp:effectExtent l="0" t="0" r="0" b="0"/>
            <wp:docPr id="56" name="图片 56" descr="C:\Users\xxy\Desktop\标准中图\标准中图-20250510\UP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C:\Users\xxy\Desktop\标准中图\标准中图-20250510\UPR.tif"/>
                    <pic:cNvPicPr>
                      <a:picLocks noChangeAspect="1" noChangeArrowheads="1"/>
                    </pic:cNvPicPr>
                  </pic:nvPicPr>
                  <pic:blipFill>
                    <a:blip r:embed="rId14" cstate="print">
                      <a:extLst>
                        <a:ext uri="{28A0092B-C50C-407E-A947-70E740481C1C}">
                          <a14:useLocalDpi xmlns:a14="http://schemas.microsoft.com/office/drawing/2010/main" val="0"/>
                        </a:ext>
                      </a:extLst>
                    </a:blip>
                    <a:srcRect t="7529" b="10118"/>
                    <a:stretch>
                      <a:fillRect/>
                    </a:stretch>
                  </pic:blipFill>
                  <pic:spPr>
                    <a:xfrm>
                      <a:off x="0" y="0"/>
                      <a:ext cx="4572000" cy="2880000"/>
                    </a:xfrm>
                    <a:prstGeom prst="rect">
                      <a:avLst/>
                    </a:prstGeom>
                    <a:noFill/>
                    <a:ln>
                      <a:noFill/>
                    </a:ln>
                  </pic:spPr>
                </pic:pic>
              </a:graphicData>
            </a:graphic>
          </wp:inline>
        </w:drawing>
      </w:r>
    </w:p>
    <w:p w14:paraId="73BFA315">
      <w:pPr>
        <w:pStyle w:val="7"/>
        <w:overflowPunct w:val="0"/>
        <w:topLinePunct/>
        <w:ind w:firstLine="480"/>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 xml:space="preserve">图 </w:t>
      </w:r>
      <w:r>
        <w:rPr>
          <w:rFonts w:ascii="Times New Roman" w:hAnsi="Times New Roman" w:eastAsia="宋体" w:cs="Times New Roman"/>
          <w:sz w:val="24"/>
          <w:szCs w:val="24"/>
          <w:lang w:eastAsia="zh-CN"/>
        </w:rPr>
        <w:t>2不饱和</w:t>
      </w:r>
      <w:r>
        <w:rPr>
          <w:rFonts w:hint="eastAsia" w:ascii="Times New Roman" w:hAnsi="Times New Roman" w:eastAsia="宋体" w:cs="Times New Roman"/>
          <w:sz w:val="24"/>
          <w:szCs w:val="24"/>
          <w:lang w:eastAsia="zh-CN"/>
        </w:rPr>
        <w:t>树脂</w:t>
      </w:r>
      <w:r>
        <w:rPr>
          <w:rFonts w:ascii="Times New Roman" w:hAnsi="Times New Roman" w:eastAsia="宋体" w:cs="Times New Roman"/>
          <w:sz w:val="24"/>
          <w:szCs w:val="24"/>
          <w:lang w:eastAsia="zh-CN"/>
        </w:rPr>
        <w:t>红外</w:t>
      </w:r>
      <w:r>
        <w:rPr>
          <w:rFonts w:hint="eastAsia" w:ascii="Times New Roman" w:hAnsi="Times New Roman" w:eastAsia="宋体" w:cs="Times New Roman"/>
          <w:sz w:val="24"/>
          <w:szCs w:val="24"/>
          <w:lang w:eastAsia="zh-CN"/>
        </w:rPr>
        <w:t>光谱</w:t>
      </w:r>
      <w:r>
        <w:rPr>
          <w:rFonts w:ascii="Times New Roman" w:hAnsi="Times New Roman" w:eastAsia="宋体" w:cs="Times New Roman"/>
          <w:sz w:val="24"/>
          <w:szCs w:val="24"/>
          <w:lang w:eastAsia="zh-CN"/>
        </w:rPr>
        <w:t>图</w:t>
      </w:r>
    </w:p>
    <w:p w14:paraId="5067A5AF">
      <w:pPr>
        <w:ind w:firstLine="480"/>
        <w:rPr>
          <w:lang w:eastAsia="zh-CN"/>
        </w:rPr>
      </w:pPr>
      <w:r>
        <w:rPr>
          <w:rFonts w:hint="eastAsia"/>
          <w:lang w:eastAsia="zh-CN"/>
        </w:rPr>
        <w:t>红外特征吸收波数：1730 cm-1、1280 cm-1、1130 cm-1、1076 cm-1、745 cm-1、705 cm-1。</w:t>
      </w:r>
    </w:p>
    <w:p w14:paraId="78AB2EAC">
      <w:pPr>
        <w:keepNext/>
        <w:overflowPunct w:val="0"/>
        <w:topLinePunct/>
        <w:ind w:firstLine="480"/>
        <w:jc w:val="center"/>
      </w:pPr>
      <w:r>
        <w:rPr>
          <w:lang w:eastAsia="zh-CN"/>
        </w:rPr>
        <w:drawing>
          <wp:inline distT="0" distB="0" distL="0" distR="0">
            <wp:extent cx="4572000" cy="2879725"/>
            <wp:effectExtent l="0" t="0" r="0" b="0"/>
            <wp:docPr id="57" name="图片 57" descr="C:\Users\xxy\Desktop\标准中图\标准中图-20250510\PMM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C:\Users\xxy\Desktop\标准中图\标准中图-20250510\PMMA.tif"/>
                    <pic:cNvPicPr>
                      <a:picLocks noChangeAspect="1" noChangeArrowheads="1"/>
                    </pic:cNvPicPr>
                  </pic:nvPicPr>
                  <pic:blipFill>
                    <a:blip r:embed="rId15">
                      <a:extLst>
                        <a:ext uri="{28A0092B-C50C-407E-A947-70E740481C1C}">
                          <a14:useLocalDpi xmlns:a14="http://schemas.microsoft.com/office/drawing/2010/main" val="0"/>
                        </a:ext>
                      </a:extLst>
                    </a:blip>
                    <a:srcRect t="8942" b="9647"/>
                    <a:stretch>
                      <a:fillRect/>
                    </a:stretch>
                  </pic:blipFill>
                  <pic:spPr>
                    <a:xfrm>
                      <a:off x="0" y="0"/>
                      <a:ext cx="4572000" cy="2880000"/>
                    </a:xfrm>
                    <a:prstGeom prst="rect">
                      <a:avLst/>
                    </a:prstGeom>
                    <a:noFill/>
                    <a:ln>
                      <a:noFill/>
                    </a:ln>
                  </pic:spPr>
                </pic:pic>
              </a:graphicData>
            </a:graphic>
          </wp:inline>
        </w:drawing>
      </w:r>
    </w:p>
    <w:p w14:paraId="5A2A703F">
      <w:pPr>
        <w:pStyle w:val="7"/>
        <w:overflowPunct w:val="0"/>
        <w:topLinePunct/>
        <w:ind w:firstLine="480"/>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 xml:space="preserve">图 </w:t>
      </w:r>
      <w:r>
        <w:rPr>
          <w:rFonts w:ascii="Times New Roman" w:hAnsi="Times New Roman" w:eastAsia="宋体" w:cs="Times New Roman"/>
          <w:sz w:val="24"/>
          <w:szCs w:val="24"/>
          <w:lang w:eastAsia="zh-CN"/>
        </w:rPr>
        <w:t>3聚甲基丙烯酸甲酯的红外</w:t>
      </w:r>
      <w:r>
        <w:rPr>
          <w:rFonts w:hint="eastAsia" w:ascii="Times New Roman" w:hAnsi="Times New Roman" w:eastAsia="宋体" w:cs="Times New Roman"/>
          <w:sz w:val="24"/>
          <w:szCs w:val="24"/>
          <w:lang w:eastAsia="zh-CN"/>
        </w:rPr>
        <w:t>光谱</w:t>
      </w:r>
      <w:r>
        <w:rPr>
          <w:rFonts w:ascii="Times New Roman" w:hAnsi="Times New Roman" w:eastAsia="宋体" w:cs="Times New Roman"/>
          <w:sz w:val="24"/>
          <w:szCs w:val="24"/>
          <w:lang w:eastAsia="zh-CN"/>
        </w:rPr>
        <w:t>图</w:t>
      </w:r>
    </w:p>
    <w:p w14:paraId="3A2E943B">
      <w:pPr>
        <w:ind w:firstLine="480"/>
        <w:rPr>
          <w:lang w:eastAsia="zh-CN"/>
        </w:rPr>
      </w:pPr>
      <w:r>
        <w:rPr>
          <w:rFonts w:hint="eastAsia"/>
          <w:lang w:eastAsia="zh-CN"/>
        </w:rPr>
        <w:t>红外特征吸收波数：</w:t>
      </w:r>
      <w:r>
        <w:rPr>
          <w:lang w:eastAsia="zh-CN"/>
        </w:rPr>
        <w:t>1730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1479</w:t>
      </w:r>
      <w:r>
        <w:rPr>
          <w:rFonts w:hint="eastAsia"/>
          <w:lang w:eastAsia="zh-CN"/>
        </w:rPr>
        <w:t xml:space="preserve"> </w:t>
      </w:r>
      <w:r>
        <w:rPr>
          <w:lang w:eastAsia="zh-CN"/>
        </w:rPr>
        <w:t>cm</w:t>
      </w:r>
      <w:r>
        <w:rPr>
          <w:vertAlign w:val="superscript"/>
          <w:lang w:eastAsia="zh-CN"/>
        </w:rPr>
        <w:t>-1</w:t>
      </w:r>
      <w:r>
        <w:rPr>
          <w:lang w:eastAsia="zh-CN"/>
        </w:rPr>
        <w:t>、1443</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1378</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1272</w:t>
      </w:r>
      <w:r>
        <w:rPr>
          <w:rFonts w:hint="eastAsia"/>
          <w:lang w:eastAsia="zh-CN"/>
        </w:rPr>
        <w:t xml:space="preserve"> </w:t>
      </w:r>
      <w:r>
        <w:rPr>
          <w:lang w:eastAsia="zh-CN"/>
        </w:rPr>
        <w:t>cm</w:t>
      </w:r>
      <w:r>
        <w:rPr>
          <w:vertAlign w:val="superscript"/>
          <w:lang w:eastAsia="zh-CN"/>
        </w:rPr>
        <w:t>-1</w:t>
      </w:r>
      <w:r>
        <w:rPr>
          <w:lang w:eastAsia="zh-CN"/>
        </w:rPr>
        <w:t>、1240</w:t>
      </w:r>
      <w:r>
        <w:rPr>
          <w:rFonts w:hint="eastAsia"/>
          <w:lang w:eastAsia="zh-CN"/>
        </w:rPr>
        <w:t xml:space="preserve"> </w:t>
      </w:r>
      <w:r>
        <w:rPr>
          <w:lang w:eastAsia="zh-CN"/>
        </w:rPr>
        <w:t>cm</w:t>
      </w:r>
      <w:r>
        <w:rPr>
          <w:vertAlign w:val="superscript"/>
          <w:lang w:eastAsia="zh-CN"/>
        </w:rPr>
        <w:t>-1</w:t>
      </w:r>
      <w:r>
        <w:rPr>
          <w:lang w:eastAsia="zh-CN"/>
        </w:rPr>
        <w:t>、1187</w:t>
      </w:r>
      <w:r>
        <w:rPr>
          <w:rFonts w:hint="eastAsia"/>
          <w:lang w:eastAsia="zh-CN"/>
        </w:rPr>
        <w:t xml:space="preserve"> </w:t>
      </w:r>
      <w:r>
        <w:rPr>
          <w:lang w:eastAsia="zh-CN"/>
        </w:rPr>
        <w:t>cm</w:t>
      </w:r>
      <w:r>
        <w:rPr>
          <w:vertAlign w:val="superscript"/>
          <w:lang w:eastAsia="zh-CN"/>
        </w:rPr>
        <w:t>-1</w:t>
      </w:r>
      <w:r>
        <w:rPr>
          <w:lang w:eastAsia="zh-CN"/>
        </w:rPr>
        <w:t>、1148</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844</w:t>
      </w:r>
      <w:r>
        <w:rPr>
          <w:rFonts w:hint="eastAsia"/>
          <w:lang w:eastAsia="zh-CN"/>
        </w:rPr>
        <w:t xml:space="preserve"> </w:t>
      </w:r>
      <w:r>
        <w:rPr>
          <w:lang w:eastAsia="zh-CN"/>
        </w:rPr>
        <w:t>cm</w:t>
      </w:r>
      <w:r>
        <w:rPr>
          <w:vertAlign w:val="superscript"/>
          <w:lang w:eastAsia="zh-CN"/>
        </w:rPr>
        <w:t>-1</w:t>
      </w:r>
      <w:r>
        <w:rPr>
          <w:lang w:eastAsia="zh-CN"/>
        </w:rPr>
        <w:t>、755</w:t>
      </w:r>
      <w:r>
        <w:rPr>
          <w:rFonts w:hint="eastAsia"/>
          <w:lang w:eastAsia="zh-CN"/>
        </w:rPr>
        <w:t xml:space="preserve"> </w:t>
      </w:r>
      <w:r>
        <w:rPr>
          <w:lang w:eastAsia="zh-CN"/>
        </w:rPr>
        <w:t>cm</w:t>
      </w:r>
      <w:r>
        <w:rPr>
          <w:vertAlign w:val="superscript"/>
          <w:lang w:eastAsia="zh-CN"/>
        </w:rPr>
        <w:t>-1</w:t>
      </w:r>
      <w:r>
        <w:rPr>
          <w:rFonts w:hint="eastAsia"/>
          <w:lang w:eastAsia="zh-CN"/>
        </w:rPr>
        <w:t>。</w:t>
      </w:r>
    </w:p>
    <w:p w14:paraId="21CE8564">
      <w:pPr>
        <w:keepNext/>
        <w:overflowPunct w:val="0"/>
        <w:topLinePunct/>
        <w:ind w:firstLine="480"/>
        <w:jc w:val="center"/>
      </w:pPr>
      <w:r>
        <w:rPr>
          <w:lang w:eastAsia="zh-CN"/>
        </w:rPr>
        <w:drawing>
          <wp:inline distT="0" distB="0" distL="0" distR="0">
            <wp:extent cx="4572000" cy="2879725"/>
            <wp:effectExtent l="0" t="0" r="0" b="0"/>
            <wp:docPr id="58" name="图片 58" descr="C:\Users\xxy\Desktop\标准中图\标准中图-20250510\E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C:\Users\xxy\Desktop\标准中图\标准中图-20250510\EP.tif"/>
                    <pic:cNvPicPr>
                      <a:picLocks noChangeAspect="1" noChangeArrowheads="1"/>
                    </pic:cNvPicPr>
                  </pic:nvPicPr>
                  <pic:blipFill>
                    <a:blip r:embed="rId16">
                      <a:extLst>
                        <a:ext uri="{28A0092B-C50C-407E-A947-70E740481C1C}">
                          <a14:useLocalDpi xmlns:a14="http://schemas.microsoft.com/office/drawing/2010/main" val="0"/>
                        </a:ext>
                      </a:extLst>
                    </a:blip>
                    <a:srcRect t="8705" b="9177"/>
                    <a:stretch>
                      <a:fillRect/>
                    </a:stretch>
                  </pic:blipFill>
                  <pic:spPr>
                    <a:xfrm>
                      <a:off x="0" y="0"/>
                      <a:ext cx="4572000" cy="2880000"/>
                    </a:xfrm>
                    <a:prstGeom prst="rect">
                      <a:avLst/>
                    </a:prstGeom>
                    <a:noFill/>
                    <a:ln>
                      <a:noFill/>
                    </a:ln>
                  </pic:spPr>
                </pic:pic>
              </a:graphicData>
            </a:graphic>
          </wp:inline>
        </w:drawing>
      </w:r>
    </w:p>
    <w:p w14:paraId="0AE02260">
      <w:pPr>
        <w:pStyle w:val="7"/>
        <w:overflowPunct w:val="0"/>
        <w:topLinePunct/>
        <w:ind w:firstLine="480"/>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 xml:space="preserve">图 </w:t>
      </w:r>
      <w:r>
        <w:rPr>
          <w:rFonts w:ascii="Times New Roman" w:hAnsi="Times New Roman" w:eastAsia="宋体" w:cs="Times New Roman"/>
          <w:sz w:val="24"/>
          <w:szCs w:val="24"/>
          <w:lang w:eastAsia="zh-CN"/>
        </w:rPr>
        <w:t>4环氧树</w:t>
      </w:r>
      <w:r>
        <w:rPr>
          <w:rFonts w:hint="eastAsia" w:ascii="Times New Roman" w:hAnsi="Times New Roman" w:eastAsia="宋体" w:cs="Times New Roman"/>
          <w:sz w:val="24"/>
          <w:szCs w:val="24"/>
          <w:lang w:eastAsia="zh-CN"/>
        </w:rPr>
        <w:t>脂</w:t>
      </w:r>
      <w:r>
        <w:rPr>
          <w:rFonts w:ascii="Times New Roman" w:hAnsi="Times New Roman" w:eastAsia="宋体" w:cs="Times New Roman"/>
          <w:sz w:val="24"/>
          <w:szCs w:val="24"/>
          <w:lang w:eastAsia="zh-CN"/>
        </w:rPr>
        <w:t>红外</w:t>
      </w:r>
      <w:r>
        <w:rPr>
          <w:rFonts w:hint="eastAsia" w:ascii="Times New Roman" w:hAnsi="Times New Roman" w:eastAsia="宋体" w:cs="Times New Roman"/>
          <w:sz w:val="24"/>
          <w:szCs w:val="24"/>
          <w:lang w:eastAsia="zh-CN"/>
        </w:rPr>
        <w:t>光谱</w:t>
      </w:r>
      <w:r>
        <w:rPr>
          <w:rFonts w:ascii="Times New Roman" w:hAnsi="Times New Roman" w:eastAsia="宋体" w:cs="Times New Roman"/>
          <w:sz w:val="24"/>
          <w:szCs w:val="24"/>
          <w:lang w:eastAsia="zh-CN"/>
        </w:rPr>
        <w:t>图</w:t>
      </w:r>
    </w:p>
    <w:p w14:paraId="3C34ABCC">
      <w:pPr>
        <w:ind w:firstLine="480"/>
        <w:rPr>
          <w:lang w:eastAsia="zh-CN"/>
        </w:rPr>
      </w:pPr>
      <w:r>
        <w:rPr>
          <w:rFonts w:hint="eastAsia"/>
          <w:lang w:eastAsia="zh-CN"/>
        </w:rPr>
        <w:t>红外特征吸收波数：</w:t>
      </w:r>
      <w:r>
        <w:rPr>
          <w:lang w:eastAsia="zh-CN"/>
        </w:rPr>
        <w:t>1</w:t>
      </w:r>
      <w:r>
        <w:rPr>
          <w:rFonts w:hint="eastAsia"/>
          <w:lang w:eastAsia="zh-CN"/>
        </w:rPr>
        <w:t xml:space="preserve">600 </w:t>
      </w:r>
      <w:r>
        <w:rPr>
          <w:lang w:eastAsia="zh-CN"/>
        </w:rPr>
        <w:t>cm</w:t>
      </w:r>
      <w:r>
        <w:rPr>
          <w:vertAlign w:val="superscript"/>
          <w:lang w:eastAsia="zh-CN"/>
        </w:rPr>
        <w:t>-1</w:t>
      </w:r>
      <w:r>
        <w:rPr>
          <w:rFonts w:hint="eastAsia"/>
          <w:lang w:eastAsia="zh-CN"/>
        </w:rPr>
        <w:t>、</w:t>
      </w:r>
      <w:r>
        <w:rPr>
          <w:lang w:eastAsia="zh-CN"/>
        </w:rPr>
        <w:t>14</w:t>
      </w:r>
      <w:r>
        <w:rPr>
          <w:rFonts w:hint="eastAsia"/>
          <w:lang w:eastAsia="zh-CN"/>
        </w:rPr>
        <w:t xml:space="preserve">60 </w:t>
      </w:r>
      <w:r>
        <w:rPr>
          <w:lang w:eastAsia="zh-CN"/>
        </w:rPr>
        <w:t>cm</w:t>
      </w:r>
      <w:r>
        <w:rPr>
          <w:vertAlign w:val="superscript"/>
          <w:lang w:eastAsia="zh-CN"/>
        </w:rPr>
        <w:t>-1</w:t>
      </w:r>
      <w:r>
        <w:rPr>
          <w:lang w:eastAsia="zh-CN"/>
        </w:rPr>
        <w:t>、1</w:t>
      </w:r>
      <w:r>
        <w:rPr>
          <w:rFonts w:hint="eastAsia"/>
          <w:lang w:eastAsia="zh-CN"/>
        </w:rPr>
        <w:t xml:space="preserve">510 </w:t>
      </w:r>
      <w:r>
        <w:rPr>
          <w:lang w:eastAsia="zh-CN"/>
        </w:rPr>
        <w:t>cm</w:t>
      </w:r>
      <w:r>
        <w:rPr>
          <w:vertAlign w:val="superscript"/>
          <w:lang w:eastAsia="zh-CN"/>
        </w:rPr>
        <w:t>-1</w:t>
      </w:r>
      <w:r>
        <w:rPr>
          <w:rFonts w:hint="eastAsia"/>
          <w:lang w:eastAsia="zh-CN"/>
        </w:rPr>
        <w:t>、</w:t>
      </w:r>
      <w:r>
        <w:rPr>
          <w:lang w:eastAsia="zh-CN"/>
        </w:rPr>
        <w:t>1</w:t>
      </w:r>
      <w:r>
        <w:rPr>
          <w:rFonts w:hint="eastAsia"/>
          <w:lang w:eastAsia="zh-CN"/>
        </w:rPr>
        <w:t xml:space="preserve">246 </w:t>
      </w:r>
      <w:r>
        <w:rPr>
          <w:lang w:eastAsia="zh-CN"/>
        </w:rPr>
        <w:t>cm</w:t>
      </w:r>
      <w:r>
        <w:rPr>
          <w:vertAlign w:val="superscript"/>
          <w:lang w:eastAsia="zh-CN"/>
        </w:rPr>
        <w:t>-1</w:t>
      </w:r>
      <w:r>
        <w:rPr>
          <w:rFonts w:hint="eastAsia"/>
          <w:lang w:eastAsia="zh-CN"/>
        </w:rPr>
        <w:t>、</w:t>
      </w:r>
      <w:r>
        <w:rPr>
          <w:lang w:eastAsia="zh-CN"/>
        </w:rPr>
        <w:t>1</w:t>
      </w:r>
      <w:r>
        <w:rPr>
          <w:rFonts w:hint="eastAsia"/>
          <w:lang w:eastAsia="zh-CN"/>
        </w:rPr>
        <w:t xml:space="preserve">112 </w:t>
      </w:r>
      <w:r>
        <w:rPr>
          <w:lang w:eastAsia="zh-CN"/>
        </w:rPr>
        <w:t>cm</w:t>
      </w:r>
      <w:r>
        <w:rPr>
          <w:vertAlign w:val="superscript"/>
          <w:lang w:eastAsia="zh-CN"/>
        </w:rPr>
        <w:t>-1</w:t>
      </w:r>
      <w:r>
        <w:rPr>
          <w:lang w:eastAsia="zh-CN"/>
        </w:rPr>
        <w:t>、1</w:t>
      </w:r>
      <w:r>
        <w:rPr>
          <w:rFonts w:hint="eastAsia"/>
          <w:lang w:eastAsia="zh-CN"/>
        </w:rPr>
        <w:t xml:space="preserve">040 </w:t>
      </w:r>
      <w:r>
        <w:rPr>
          <w:lang w:eastAsia="zh-CN"/>
        </w:rPr>
        <w:t>cm</w:t>
      </w:r>
      <w:r>
        <w:rPr>
          <w:vertAlign w:val="superscript"/>
          <w:lang w:eastAsia="zh-CN"/>
        </w:rPr>
        <w:t>-1</w:t>
      </w:r>
      <w:r>
        <w:rPr>
          <w:lang w:eastAsia="zh-CN"/>
        </w:rPr>
        <w:t>、</w:t>
      </w:r>
      <w:r>
        <w:rPr>
          <w:rFonts w:hint="eastAsia"/>
          <w:lang w:eastAsia="zh-CN"/>
        </w:rPr>
        <w:t xml:space="preserve">830 </w:t>
      </w:r>
      <w:r>
        <w:rPr>
          <w:lang w:eastAsia="zh-CN"/>
        </w:rPr>
        <w:t>cm</w:t>
      </w:r>
      <w:r>
        <w:rPr>
          <w:vertAlign w:val="superscript"/>
          <w:lang w:eastAsia="zh-CN"/>
        </w:rPr>
        <w:t>-1</w:t>
      </w:r>
      <w:r>
        <w:rPr>
          <w:rFonts w:hint="eastAsia"/>
          <w:lang w:eastAsia="zh-CN"/>
        </w:rPr>
        <w:t>。</w:t>
      </w:r>
    </w:p>
    <w:p w14:paraId="4C0E8D4E">
      <w:pPr>
        <w:overflowPunct w:val="0"/>
        <w:topLinePunct/>
        <w:ind w:firstLine="0" w:firstLineChars="0"/>
        <w:jc w:val="center"/>
        <w:rPr>
          <w:lang w:eastAsia="zh-CN"/>
        </w:rPr>
      </w:pPr>
      <w:r>
        <w:rPr>
          <w:lang w:eastAsia="zh-CN"/>
        </w:rPr>
        <w:drawing>
          <wp:inline distT="0" distB="0" distL="0" distR="0">
            <wp:extent cx="4572000" cy="2879725"/>
            <wp:effectExtent l="0" t="0" r="0" b="0"/>
            <wp:docPr id="1" name="图片 1" descr="F:\标准\Origin作图\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标准\Origin作图\PE.t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72000" cy="2880000"/>
                    </a:xfrm>
                    <a:prstGeom prst="rect">
                      <a:avLst/>
                    </a:prstGeom>
                    <a:noFill/>
                    <a:ln>
                      <a:noFill/>
                    </a:ln>
                  </pic:spPr>
                </pic:pic>
              </a:graphicData>
            </a:graphic>
          </wp:inline>
        </w:drawing>
      </w:r>
    </w:p>
    <w:p w14:paraId="45017343">
      <w:pPr>
        <w:overflowPunct w:val="0"/>
        <w:topLinePunct/>
        <w:ind w:firstLine="0" w:firstLineChars="0"/>
        <w:jc w:val="center"/>
        <w:rPr>
          <w:lang w:eastAsia="zh-CN"/>
        </w:rPr>
      </w:pPr>
      <w:r>
        <w:rPr>
          <w:rFonts w:hint="eastAsia"/>
          <w:lang w:eastAsia="zh-CN"/>
        </w:rPr>
        <w:t>图</w:t>
      </w:r>
      <w:r>
        <w:rPr>
          <w:lang w:eastAsia="zh-CN"/>
        </w:rPr>
        <w:t xml:space="preserve">5 </w:t>
      </w:r>
      <w:r>
        <w:rPr>
          <w:rFonts w:hint="eastAsia"/>
          <w:lang w:eastAsia="zh-CN"/>
        </w:rPr>
        <w:t>聚乙烯红外光谱图</w:t>
      </w:r>
    </w:p>
    <w:p w14:paraId="503B970C">
      <w:pPr>
        <w:overflowPunct w:val="0"/>
        <w:topLinePunct/>
        <w:ind w:firstLine="0" w:firstLineChars="0"/>
        <w:jc w:val="center"/>
        <w:rPr>
          <w:lang w:eastAsia="zh-CN"/>
        </w:rPr>
      </w:pPr>
      <w:r>
        <w:rPr>
          <w:rFonts w:hint="eastAsia"/>
          <w:lang w:eastAsia="zh-CN"/>
        </w:rPr>
        <w:t>红外特征吸收波数：</w:t>
      </w:r>
      <w:r>
        <w:rPr>
          <w:lang w:eastAsia="zh-CN"/>
        </w:rPr>
        <w:t>2917</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2848</w:t>
      </w:r>
      <w:r>
        <w:rPr>
          <w:rFonts w:hint="eastAsia"/>
          <w:lang w:eastAsia="zh-CN"/>
        </w:rPr>
        <w:t xml:space="preserve"> </w:t>
      </w:r>
      <w:r>
        <w:rPr>
          <w:lang w:eastAsia="zh-CN"/>
        </w:rPr>
        <w:t>cm</w:t>
      </w:r>
      <w:r>
        <w:rPr>
          <w:vertAlign w:val="superscript"/>
          <w:lang w:eastAsia="zh-CN"/>
        </w:rPr>
        <w:t>-1</w:t>
      </w:r>
      <w:r>
        <w:rPr>
          <w:lang w:eastAsia="zh-CN"/>
        </w:rPr>
        <w:t>、1465</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725</w:t>
      </w:r>
      <w:r>
        <w:rPr>
          <w:rFonts w:hint="eastAsia"/>
          <w:lang w:eastAsia="zh-CN"/>
        </w:rPr>
        <w:t xml:space="preserve"> </w:t>
      </w:r>
      <w:r>
        <w:rPr>
          <w:lang w:eastAsia="zh-CN"/>
        </w:rPr>
        <w:t>cm</w:t>
      </w:r>
      <w:r>
        <w:rPr>
          <w:vertAlign w:val="superscript"/>
          <w:lang w:eastAsia="zh-CN"/>
        </w:rPr>
        <w:t>-1</w:t>
      </w:r>
      <w:r>
        <w:rPr>
          <w:rFonts w:hint="eastAsia"/>
          <w:lang w:eastAsia="zh-CN"/>
        </w:rPr>
        <w:t>。</w:t>
      </w:r>
    </w:p>
    <w:p w14:paraId="5B40908D">
      <w:pPr>
        <w:overflowPunct w:val="0"/>
        <w:topLinePunct/>
        <w:ind w:firstLine="0" w:firstLineChars="0"/>
        <w:jc w:val="center"/>
        <w:rPr>
          <w:lang w:eastAsia="zh-CN"/>
        </w:rPr>
      </w:pPr>
      <w:r>
        <w:rPr>
          <w:lang w:eastAsia="zh-CN"/>
        </w:rPr>
        <w:drawing>
          <wp:inline distT="0" distB="0" distL="0" distR="0">
            <wp:extent cx="4572000" cy="2879725"/>
            <wp:effectExtent l="0" t="0" r="0" b="0"/>
            <wp:docPr id="2" name="图片 2" descr="F:\标准\Origin作图\P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标准\Origin作图\PP.t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572000" cy="2880000"/>
                    </a:xfrm>
                    <a:prstGeom prst="rect">
                      <a:avLst/>
                    </a:prstGeom>
                    <a:noFill/>
                    <a:ln>
                      <a:noFill/>
                    </a:ln>
                  </pic:spPr>
                </pic:pic>
              </a:graphicData>
            </a:graphic>
          </wp:inline>
        </w:drawing>
      </w:r>
    </w:p>
    <w:p w14:paraId="3B53F9DD">
      <w:pPr>
        <w:overflowPunct w:val="0"/>
        <w:topLinePunct/>
        <w:ind w:firstLine="0" w:firstLineChars="0"/>
        <w:jc w:val="center"/>
        <w:rPr>
          <w:lang w:eastAsia="zh-CN"/>
        </w:rPr>
      </w:pPr>
      <w:r>
        <w:rPr>
          <w:rFonts w:hint="eastAsia"/>
          <w:lang w:eastAsia="zh-CN"/>
        </w:rPr>
        <w:t>图</w:t>
      </w:r>
      <w:r>
        <w:rPr>
          <w:lang w:eastAsia="zh-CN"/>
        </w:rPr>
        <w:t xml:space="preserve">6 </w:t>
      </w:r>
      <w:r>
        <w:rPr>
          <w:rFonts w:hint="eastAsia"/>
          <w:lang w:eastAsia="zh-CN"/>
        </w:rPr>
        <w:t>聚丙烯红外光谱图</w:t>
      </w:r>
    </w:p>
    <w:p w14:paraId="005DB91C">
      <w:pPr>
        <w:overflowPunct w:val="0"/>
        <w:topLinePunct/>
        <w:ind w:firstLine="480"/>
        <w:rPr>
          <w:lang w:eastAsia="zh-CN"/>
        </w:rPr>
      </w:pPr>
      <w:bookmarkStart w:id="34" w:name="OLE_LINK23"/>
      <w:bookmarkStart w:id="35" w:name="OLE_LINK22"/>
      <w:r>
        <w:rPr>
          <w:rFonts w:hint="eastAsia"/>
          <w:lang w:eastAsia="zh-CN"/>
        </w:rPr>
        <w:t>红外特征吸收波数：</w:t>
      </w:r>
      <w:r>
        <w:rPr>
          <w:lang w:eastAsia="zh-CN"/>
        </w:rPr>
        <w:t>2953</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2917</w:t>
      </w:r>
      <w:r>
        <w:rPr>
          <w:rFonts w:hint="eastAsia"/>
          <w:lang w:eastAsia="zh-CN"/>
        </w:rPr>
        <w:t xml:space="preserve"> </w:t>
      </w:r>
      <w:r>
        <w:rPr>
          <w:lang w:eastAsia="zh-CN"/>
        </w:rPr>
        <w:t>cm</w:t>
      </w:r>
      <w:r>
        <w:rPr>
          <w:vertAlign w:val="superscript"/>
          <w:lang w:eastAsia="zh-CN"/>
        </w:rPr>
        <w:t>-1</w:t>
      </w:r>
      <w:r>
        <w:rPr>
          <w:lang w:eastAsia="zh-CN"/>
        </w:rPr>
        <w:t>、2873</w:t>
      </w:r>
      <w:r>
        <w:rPr>
          <w:rFonts w:hint="eastAsia"/>
          <w:lang w:eastAsia="zh-CN"/>
        </w:rPr>
        <w:t xml:space="preserve"> </w:t>
      </w:r>
      <w:r>
        <w:rPr>
          <w:lang w:eastAsia="zh-CN"/>
        </w:rPr>
        <w:t>cm</w:t>
      </w:r>
      <w:r>
        <w:rPr>
          <w:vertAlign w:val="superscript"/>
          <w:lang w:eastAsia="zh-CN"/>
        </w:rPr>
        <w:t>-1</w:t>
      </w:r>
      <w:r>
        <w:rPr>
          <w:lang w:eastAsia="zh-CN"/>
        </w:rPr>
        <w:t>、2840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1459</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1377</w:t>
      </w:r>
      <w:r>
        <w:rPr>
          <w:rFonts w:hint="eastAsia"/>
          <w:lang w:eastAsia="zh-CN"/>
        </w:rPr>
        <w:t xml:space="preserve"> </w:t>
      </w:r>
      <w:r>
        <w:rPr>
          <w:lang w:eastAsia="zh-CN"/>
        </w:rPr>
        <w:t>cm</w:t>
      </w:r>
      <w:r>
        <w:rPr>
          <w:vertAlign w:val="superscript"/>
          <w:lang w:eastAsia="zh-CN"/>
        </w:rPr>
        <w:t>-1</w:t>
      </w:r>
      <w:r>
        <w:rPr>
          <w:lang w:eastAsia="zh-CN"/>
        </w:rPr>
        <w:t>、1165</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971</w:t>
      </w:r>
      <w:r>
        <w:rPr>
          <w:rFonts w:hint="eastAsia"/>
          <w:lang w:eastAsia="zh-CN"/>
        </w:rPr>
        <w:t xml:space="preserve"> </w:t>
      </w:r>
      <w:r>
        <w:rPr>
          <w:lang w:eastAsia="zh-CN"/>
        </w:rPr>
        <w:t>cm</w:t>
      </w:r>
      <w:r>
        <w:rPr>
          <w:vertAlign w:val="superscript"/>
          <w:lang w:eastAsia="zh-CN"/>
        </w:rPr>
        <w:t>-1</w:t>
      </w:r>
      <w:r>
        <w:rPr>
          <w:rFonts w:hint="eastAsia"/>
          <w:lang w:eastAsia="zh-CN"/>
        </w:rPr>
        <w:t>。</w:t>
      </w:r>
    </w:p>
    <w:p w14:paraId="763A9C11">
      <w:pPr>
        <w:overflowPunct w:val="0"/>
        <w:topLinePunct/>
        <w:ind w:firstLine="0" w:firstLineChars="0"/>
        <w:jc w:val="center"/>
        <w:rPr>
          <w:lang w:eastAsia="zh-CN"/>
        </w:rPr>
      </w:pPr>
      <w:r>
        <w:rPr>
          <w:lang w:eastAsia="zh-CN"/>
        </w:rPr>
        <w:drawing>
          <wp:inline distT="0" distB="0" distL="0" distR="0">
            <wp:extent cx="4572000" cy="2879725"/>
            <wp:effectExtent l="0" t="0" r="0" b="0"/>
            <wp:docPr id="7" name="图片 7" descr="F:\标准\Origin作图\PV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标准\Origin作图\PVC.t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72000" cy="2880000"/>
                    </a:xfrm>
                    <a:prstGeom prst="rect">
                      <a:avLst/>
                    </a:prstGeom>
                    <a:noFill/>
                    <a:ln>
                      <a:noFill/>
                    </a:ln>
                  </pic:spPr>
                </pic:pic>
              </a:graphicData>
            </a:graphic>
          </wp:inline>
        </w:drawing>
      </w:r>
    </w:p>
    <w:p w14:paraId="418234DB">
      <w:pPr>
        <w:overflowPunct w:val="0"/>
        <w:topLinePunct/>
        <w:ind w:firstLine="0" w:firstLineChars="0"/>
        <w:jc w:val="center"/>
        <w:rPr>
          <w:lang w:eastAsia="zh-CN"/>
        </w:rPr>
      </w:pPr>
      <w:r>
        <w:rPr>
          <w:rFonts w:hint="eastAsia"/>
          <w:lang w:eastAsia="zh-CN"/>
        </w:rPr>
        <w:t>图</w:t>
      </w:r>
      <w:r>
        <w:rPr>
          <w:lang w:eastAsia="zh-CN"/>
        </w:rPr>
        <w:t xml:space="preserve">7 </w:t>
      </w:r>
      <w:r>
        <w:rPr>
          <w:rFonts w:hint="eastAsia"/>
          <w:lang w:eastAsia="zh-CN"/>
        </w:rPr>
        <w:t>聚氯乙烯红外光谱图</w:t>
      </w:r>
    </w:p>
    <w:p w14:paraId="14567439">
      <w:pPr>
        <w:overflowPunct w:val="0"/>
        <w:topLinePunct/>
        <w:ind w:firstLine="480"/>
        <w:rPr>
          <w:lang w:eastAsia="zh-CN"/>
        </w:rPr>
      </w:pPr>
      <w:r>
        <w:rPr>
          <w:rFonts w:hint="eastAsia"/>
          <w:lang w:eastAsia="zh-CN"/>
        </w:rPr>
        <w:t>红外特征吸收波数：</w:t>
      </w:r>
      <w:r>
        <w:rPr>
          <w:lang w:eastAsia="zh-CN"/>
        </w:rPr>
        <w:t>2970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2911</w:t>
      </w:r>
      <w:r>
        <w:rPr>
          <w:rFonts w:hint="eastAsia"/>
          <w:lang w:eastAsia="zh-CN"/>
        </w:rPr>
        <w:t xml:space="preserve"> </w:t>
      </w:r>
      <w:r>
        <w:rPr>
          <w:lang w:eastAsia="zh-CN"/>
        </w:rPr>
        <w:t>cm</w:t>
      </w:r>
      <w:r>
        <w:rPr>
          <w:vertAlign w:val="superscript"/>
          <w:lang w:eastAsia="zh-CN"/>
        </w:rPr>
        <w:t>-1</w:t>
      </w:r>
      <w:r>
        <w:rPr>
          <w:lang w:eastAsia="zh-CN"/>
        </w:rPr>
        <w:t>、2850</w:t>
      </w:r>
      <w:r>
        <w:rPr>
          <w:rFonts w:hint="eastAsia"/>
          <w:lang w:eastAsia="zh-CN"/>
        </w:rPr>
        <w:t xml:space="preserve"> </w:t>
      </w:r>
      <w:r>
        <w:rPr>
          <w:lang w:eastAsia="zh-CN"/>
        </w:rPr>
        <w:t>cm</w:t>
      </w:r>
      <w:r>
        <w:rPr>
          <w:vertAlign w:val="superscript"/>
          <w:lang w:eastAsia="zh-CN"/>
        </w:rPr>
        <w:t>-1</w:t>
      </w:r>
      <w:r>
        <w:rPr>
          <w:lang w:eastAsia="zh-CN"/>
        </w:rPr>
        <w:t>、1429</w:t>
      </w:r>
      <w:r>
        <w:rPr>
          <w:rFonts w:hint="eastAsia"/>
          <w:lang w:eastAsia="zh-CN"/>
        </w:rPr>
        <w:t xml:space="preserve"> </w:t>
      </w:r>
      <w:r>
        <w:rPr>
          <w:lang w:eastAsia="zh-CN"/>
        </w:rPr>
        <w:t>cm</w:t>
      </w:r>
      <w:r>
        <w:rPr>
          <w:vertAlign w:val="superscript"/>
          <w:lang w:eastAsia="zh-CN"/>
        </w:rPr>
        <w:t>-1</w:t>
      </w:r>
      <w:r>
        <w:rPr>
          <w:lang w:eastAsia="zh-CN"/>
        </w:rPr>
        <w:t>、1330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1254</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1100</w:t>
      </w:r>
      <w:r>
        <w:rPr>
          <w:rFonts w:hint="eastAsia"/>
          <w:lang w:eastAsia="zh-CN"/>
        </w:rPr>
        <w:t xml:space="preserve"> </w:t>
      </w:r>
      <w:r>
        <w:rPr>
          <w:lang w:eastAsia="zh-CN"/>
        </w:rPr>
        <w:t>cm</w:t>
      </w:r>
      <w:r>
        <w:rPr>
          <w:vertAlign w:val="superscript"/>
          <w:lang w:eastAsia="zh-CN"/>
        </w:rPr>
        <w:t>-1</w:t>
      </w:r>
      <w:r>
        <w:rPr>
          <w:lang w:eastAsia="zh-CN"/>
        </w:rPr>
        <w:t>、964</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690</w:t>
      </w:r>
      <w:r>
        <w:rPr>
          <w:rFonts w:hint="eastAsia"/>
          <w:lang w:eastAsia="zh-CN"/>
        </w:rPr>
        <w:t xml:space="preserve"> </w:t>
      </w:r>
      <w:r>
        <w:rPr>
          <w:lang w:eastAsia="zh-CN"/>
        </w:rPr>
        <w:t>cm</w:t>
      </w:r>
      <w:r>
        <w:rPr>
          <w:vertAlign w:val="superscript"/>
          <w:lang w:eastAsia="zh-CN"/>
        </w:rPr>
        <w:t>-1</w:t>
      </w:r>
      <w:r>
        <w:rPr>
          <w:rFonts w:hint="eastAsia"/>
          <w:lang w:eastAsia="zh-CN"/>
        </w:rPr>
        <w:t>。</w:t>
      </w:r>
    </w:p>
    <w:bookmarkEnd w:id="34"/>
    <w:bookmarkEnd w:id="35"/>
    <w:p w14:paraId="024B3511">
      <w:pPr>
        <w:overflowPunct w:val="0"/>
        <w:topLinePunct/>
        <w:ind w:firstLine="0" w:firstLineChars="0"/>
        <w:jc w:val="center"/>
        <w:rPr>
          <w:lang w:eastAsia="zh-CN"/>
        </w:rPr>
      </w:pPr>
      <w:r>
        <w:rPr>
          <w:lang w:eastAsia="zh-CN"/>
        </w:rPr>
        <w:drawing>
          <wp:inline distT="0" distB="0" distL="0" distR="0">
            <wp:extent cx="4572000" cy="2879725"/>
            <wp:effectExtent l="0" t="0" r="0" b="0"/>
            <wp:docPr id="3" name="图片 3" descr="F:\标准\Origin作图\P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标准\Origin作图\PC.t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572000" cy="2880000"/>
                    </a:xfrm>
                    <a:prstGeom prst="rect">
                      <a:avLst/>
                    </a:prstGeom>
                    <a:noFill/>
                    <a:ln>
                      <a:noFill/>
                    </a:ln>
                  </pic:spPr>
                </pic:pic>
              </a:graphicData>
            </a:graphic>
          </wp:inline>
        </w:drawing>
      </w:r>
    </w:p>
    <w:p w14:paraId="1BD92143">
      <w:pPr>
        <w:overflowPunct w:val="0"/>
        <w:topLinePunct/>
        <w:ind w:firstLine="0" w:firstLineChars="0"/>
        <w:jc w:val="center"/>
        <w:rPr>
          <w:lang w:eastAsia="zh-CN"/>
        </w:rPr>
      </w:pPr>
      <w:r>
        <w:rPr>
          <w:rFonts w:hint="eastAsia"/>
          <w:lang w:eastAsia="zh-CN"/>
        </w:rPr>
        <w:t>图</w:t>
      </w:r>
      <w:r>
        <w:rPr>
          <w:lang w:eastAsia="zh-CN"/>
        </w:rPr>
        <w:t xml:space="preserve">8 </w:t>
      </w:r>
      <w:r>
        <w:rPr>
          <w:rFonts w:hint="eastAsia"/>
          <w:lang w:eastAsia="zh-CN"/>
        </w:rPr>
        <w:t>聚碳酸酯红外光谱图</w:t>
      </w:r>
    </w:p>
    <w:p w14:paraId="195E50B8">
      <w:pPr>
        <w:overflowPunct w:val="0"/>
        <w:topLinePunct/>
        <w:ind w:firstLine="480"/>
        <w:rPr>
          <w:lang w:eastAsia="zh-CN"/>
        </w:rPr>
      </w:pPr>
      <w:r>
        <w:rPr>
          <w:rFonts w:hint="eastAsia"/>
          <w:lang w:eastAsia="zh-CN"/>
        </w:rPr>
        <w:t>红外特征吸收波数：</w:t>
      </w:r>
      <w:r>
        <w:rPr>
          <w:lang w:eastAsia="zh-CN"/>
        </w:rPr>
        <w:t>1776</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1600</w:t>
      </w:r>
      <w:r>
        <w:rPr>
          <w:rFonts w:hint="eastAsia"/>
          <w:lang w:eastAsia="zh-CN"/>
        </w:rPr>
        <w:t xml:space="preserve"> </w:t>
      </w:r>
      <w:r>
        <w:rPr>
          <w:lang w:eastAsia="zh-CN"/>
        </w:rPr>
        <w:t>cm</w:t>
      </w:r>
      <w:r>
        <w:rPr>
          <w:vertAlign w:val="superscript"/>
          <w:lang w:eastAsia="zh-CN"/>
        </w:rPr>
        <w:t>-1</w:t>
      </w:r>
      <w:r>
        <w:rPr>
          <w:lang w:eastAsia="zh-CN"/>
        </w:rPr>
        <w:t>、1504</w:t>
      </w:r>
      <w:r>
        <w:rPr>
          <w:rFonts w:hint="eastAsia"/>
          <w:lang w:eastAsia="zh-CN"/>
        </w:rPr>
        <w:t xml:space="preserve"> </w:t>
      </w:r>
      <w:r>
        <w:rPr>
          <w:lang w:eastAsia="zh-CN"/>
        </w:rPr>
        <w:t>cm</w:t>
      </w:r>
      <w:r>
        <w:rPr>
          <w:vertAlign w:val="superscript"/>
          <w:lang w:eastAsia="zh-CN"/>
        </w:rPr>
        <w:t>-1</w:t>
      </w:r>
      <w:r>
        <w:rPr>
          <w:lang w:eastAsia="zh-CN"/>
        </w:rPr>
        <w:t>、1463</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1365</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1235</w:t>
      </w:r>
      <w:r>
        <w:rPr>
          <w:rFonts w:hint="eastAsia"/>
          <w:lang w:eastAsia="zh-CN"/>
        </w:rPr>
        <w:t xml:space="preserve"> </w:t>
      </w:r>
      <w:r>
        <w:rPr>
          <w:lang w:eastAsia="zh-CN"/>
        </w:rPr>
        <w:t>cm</w:t>
      </w:r>
      <w:r>
        <w:rPr>
          <w:vertAlign w:val="superscript"/>
          <w:lang w:eastAsia="zh-CN"/>
        </w:rPr>
        <w:t>-1</w:t>
      </w:r>
      <w:r>
        <w:rPr>
          <w:lang w:eastAsia="zh-CN"/>
        </w:rPr>
        <w:t>、1190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1110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830</w:t>
      </w:r>
      <w:r>
        <w:rPr>
          <w:rFonts w:hint="eastAsia"/>
          <w:lang w:eastAsia="zh-CN"/>
        </w:rPr>
        <w:t xml:space="preserve"> </w:t>
      </w:r>
      <w:r>
        <w:rPr>
          <w:lang w:eastAsia="zh-CN"/>
        </w:rPr>
        <w:t>cm</w:t>
      </w:r>
      <w:r>
        <w:rPr>
          <w:vertAlign w:val="superscript"/>
          <w:lang w:eastAsia="zh-CN"/>
        </w:rPr>
        <w:t>-1</w:t>
      </w:r>
      <w:r>
        <w:rPr>
          <w:rFonts w:hint="eastAsia"/>
          <w:lang w:eastAsia="zh-CN"/>
        </w:rPr>
        <w:t>。</w:t>
      </w:r>
    </w:p>
    <w:p w14:paraId="2FB28E8B">
      <w:pPr>
        <w:overflowPunct w:val="0"/>
        <w:topLinePunct/>
        <w:ind w:firstLine="0" w:firstLineChars="0"/>
        <w:jc w:val="center"/>
        <w:rPr>
          <w:lang w:eastAsia="zh-CN"/>
        </w:rPr>
      </w:pPr>
      <w:r>
        <w:rPr>
          <w:lang w:eastAsia="zh-CN"/>
        </w:rPr>
        <w:drawing>
          <wp:inline distT="0" distB="0" distL="0" distR="0">
            <wp:extent cx="4572000" cy="2879725"/>
            <wp:effectExtent l="0" t="0" r="0" b="0"/>
            <wp:docPr id="18" name="图片 18" descr="F:\标准\Origin作图\P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标准\Origin作图\PET.t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572000" cy="2880000"/>
                    </a:xfrm>
                    <a:prstGeom prst="rect">
                      <a:avLst/>
                    </a:prstGeom>
                    <a:noFill/>
                    <a:ln>
                      <a:noFill/>
                    </a:ln>
                  </pic:spPr>
                </pic:pic>
              </a:graphicData>
            </a:graphic>
          </wp:inline>
        </w:drawing>
      </w:r>
    </w:p>
    <w:p w14:paraId="7013411C">
      <w:pPr>
        <w:overflowPunct w:val="0"/>
        <w:topLinePunct/>
        <w:ind w:firstLine="0" w:firstLineChars="0"/>
        <w:jc w:val="center"/>
        <w:rPr>
          <w:lang w:eastAsia="zh-CN"/>
        </w:rPr>
      </w:pPr>
      <w:r>
        <w:rPr>
          <w:rFonts w:hint="eastAsia"/>
          <w:lang w:eastAsia="zh-CN"/>
        </w:rPr>
        <w:t>图</w:t>
      </w:r>
      <w:r>
        <w:rPr>
          <w:lang w:eastAsia="zh-CN"/>
        </w:rPr>
        <w:t xml:space="preserve">9 </w:t>
      </w:r>
      <w:r>
        <w:rPr>
          <w:rFonts w:hint="eastAsia"/>
          <w:lang w:eastAsia="zh-CN"/>
        </w:rPr>
        <w:t>聚对苯二甲酸乙二醇酯红外光谱图</w:t>
      </w:r>
    </w:p>
    <w:p w14:paraId="2A3D1C86">
      <w:pPr>
        <w:overflowPunct w:val="0"/>
        <w:topLinePunct/>
        <w:ind w:firstLine="480"/>
        <w:rPr>
          <w:lang w:eastAsia="zh-CN"/>
        </w:rPr>
      </w:pPr>
      <w:r>
        <w:rPr>
          <w:rFonts w:hint="eastAsia"/>
          <w:lang w:eastAsia="zh-CN"/>
        </w:rPr>
        <w:t>红外特征吸收波数：</w:t>
      </w:r>
      <w:r>
        <w:rPr>
          <w:lang w:eastAsia="zh-CN"/>
        </w:rPr>
        <w:t>2960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1714</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1610</w:t>
      </w:r>
      <w:r>
        <w:rPr>
          <w:rFonts w:hint="eastAsia"/>
          <w:lang w:eastAsia="zh-CN"/>
        </w:rPr>
        <w:t xml:space="preserve"> </w:t>
      </w:r>
      <w:r>
        <w:rPr>
          <w:lang w:eastAsia="zh-CN"/>
        </w:rPr>
        <w:t>cm</w:t>
      </w:r>
      <w:r>
        <w:rPr>
          <w:vertAlign w:val="superscript"/>
          <w:lang w:eastAsia="zh-CN"/>
        </w:rPr>
        <w:t>-1</w:t>
      </w:r>
      <w:r>
        <w:rPr>
          <w:lang w:eastAsia="zh-CN"/>
        </w:rPr>
        <w:t>、1580</w:t>
      </w:r>
      <w:r>
        <w:rPr>
          <w:rFonts w:hint="eastAsia"/>
          <w:lang w:eastAsia="zh-CN"/>
        </w:rPr>
        <w:t xml:space="preserve"> </w:t>
      </w:r>
      <w:r>
        <w:rPr>
          <w:lang w:eastAsia="zh-CN"/>
        </w:rPr>
        <w:t>cm</w:t>
      </w:r>
      <w:r>
        <w:rPr>
          <w:vertAlign w:val="superscript"/>
          <w:lang w:eastAsia="zh-CN"/>
        </w:rPr>
        <w:t>-1</w:t>
      </w:r>
      <w:r>
        <w:rPr>
          <w:lang w:eastAsia="zh-CN"/>
        </w:rPr>
        <w:t>、1503</w:t>
      </w:r>
      <w:r>
        <w:rPr>
          <w:rFonts w:hint="eastAsia"/>
          <w:lang w:eastAsia="zh-CN"/>
        </w:rPr>
        <w:t xml:space="preserve"> </w:t>
      </w:r>
      <w:r>
        <w:rPr>
          <w:lang w:eastAsia="zh-CN"/>
        </w:rPr>
        <w:t>cm</w:t>
      </w:r>
      <w:r>
        <w:rPr>
          <w:vertAlign w:val="superscript"/>
          <w:lang w:eastAsia="zh-CN"/>
        </w:rPr>
        <w:t>-1</w:t>
      </w:r>
      <w:r>
        <w:rPr>
          <w:lang w:eastAsia="zh-CN"/>
        </w:rPr>
        <w:t>、1455</w:t>
      </w:r>
      <w:r>
        <w:rPr>
          <w:rFonts w:hint="eastAsia"/>
          <w:lang w:eastAsia="zh-CN"/>
        </w:rPr>
        <w:t xml:space="preserve"> </w:t>
      </w:r>
      <w:r>
        <w:rPr>
          <w:lang w:eastAsia="zh-CN"/>
        </w:rPr>
        <w:t>cm</w:t>
      </w:r>
      <w:r>
        <w:rPr>
          <w:vertAlign w:val="superscript"/>
          <w:lang w:eastAsia="zh-CN"/>
        </w:rPr>
        <w:t>-1</w:t>
      </w:r>
      <w:r>
        <w:rPr>
          <w:lang w:eastAsia="zh-CN"/>
        </w:rPr>
        <w:t>、1265</w:t>
      </w:r>
      <w:r>
        <w:rPr>
          <w:rFonts w:hint="eastAsia"/>
          <w:lang w:eastAsia="zh-CN"/>
        </w:rPr>
        <w:t xml:space="preserve"> </w:t>
      </w:r>
      <w:r>
        <w:rPr>
          <w:lang w:eastAsia="zh-CN"/>
        </w:rPr>
        <w:t>cm</w:t>
      </w:r>
      <w:r>
        <w:rPr>
          <w:vertAlign w:val="superscript"/>
          <w:lang w:eastAsia="zh-CN"/>
        </w:rPr>
        <w:t>-1</w:t>
      </w:r>
      <w:r>
        <w:rPr>
          <w:lang w:eastAsia="zh-CN"/>
        </w:rPr>
        <w:t>、1110</w:t>
      </w:r>
      <w:r>
        <w:rPr>
          <w:rFonts w:hint="eastAsia"/>
          <w:lang w:eastAsia="zh-CN"/>
        </w:rPr>
        <w:t xml:space="preserve"> </w:t>
      </w:r>
      <w:r>
        <w:rPr>
          <w:lang w:eastAsia="zh-CN"/>
        </w:rPr>
        <w:t>cm</w:t>
      </w:r>
      <w:r>
        <w:rPr>
          <w:vertAlign w:val="superscript"/>
          <w:lang w:eastAsia="zh-CN"/>
        </w:rPr>
        <w:t>-1</w:t>
      </w:r>
      <w:r>
        <w:rPr>
          <w:lang w:eastAsia="zh-CN"/>
        </w:rPr>
        <w:t>、1021</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873</w:t>
      </w:r>
      <w:r>
        <w:rPr>
          <w:rFonts w:hint="eastAsia"/>
          <w:lang w:eastAsia="zh-CN"/>
        </w:rPr>
        <w:t xml:space="preserve"> </w:t>
      </w:r>
      <w:r>
        <w:rPr>
          <w:lang w:eastAsia="zh-CN"/>
        </w:rPr>
        <w:t>cm</w:t>
      </w:r>
      <w:r>
        <w:rPr>
          <w:vertAlign w:val="superscript"/>
          <w:lang w:eastAsia="zh-CN"/>
        </w:rPr>
        <w:t>-1</w:t>
      </w:r>
      <w:r>
        <w:rPr>
          <w:lang w:eastAsia="zh-CN"/>
        </w:rPr>
        <w:t>、727</w:t>
      </w:r>
      <w:r>
        <w:rPr>
          <w:rFonts w:hint="eastAsia"/>
          <w:lang w:eastAsia="zh-CN"/>
        </w:rPr>
        <w:t xml:space="preserve"> </w:t>
      </w:r>
      <w:r>
        <w:rPr>
          <w:lang w:eastAsia="zh-CN"/>
        </w:rPr>
        <w:t>cm</w:t>
      </w:r>
      <w:r>
        <w:rPr>
          <w:vertAlign w:val="superscript"/>
          <w:lang w:eastAsia="zh-CN"/>
        </w:rPr>
        <w:t>-1</w:t>
      </w:r>
      <w:r>
        <w:rPr>
          <w:rFonts w:hint="eastAsia"/>
          <w:lang w:eastAsia="zh-CN"/>
        </w:rPr>
        <w:t>。</w:t>
      </w:r>
    </w:p>
    <w:p w14:paraId="03D49734">
      <w:pPr>
        <w:overflowPunct w:val="0"/>
        <w:topLinePunct/>
        <w:ind w:firstLine="0" w:firstLineChars="0"/>
        <w:jc w:val="center"/>
        <w:rPr>
          <w:lang w:eastAsia="zh-CN"/>
        </w:rPr>
      </w:pPr>
      <w:r>
        <w:rPr>
          <w:lang w:eastAsia="zh-CN"/>
        </w:rPr>
        <w:drawing>
          <wp:inline distT="0" distB="0" distL="0" distR="0">
            <wp:extent cx="4572000" cy="2879725"/>
            <wp:effectExtent l="0" t="0" r="0" b="0"/>
            <wp:docPr id="20" name="图片 20" descr="F:\标准\Origin作图\P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F:\标准\Origin作图\PA.t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572000" cy="2880000"/>
                    </a:xfrm>
                    <a:prstGeom prst="rect">
                      <a:avLst/>
                    </a:prstGeom>
                    <a:noFill/>
                    <a:ln>
                      <a:noFill/>
                    </a:ln>
                  </pic:spPr>
                </pic:pic>
              </a:graphicData>
            </a:graphic>
          </wp:inline>
        </w:drawing>
      </w:r>
    </w:p>
    <w:p w14:paraId="0DB95566">
      <w:pPr>
        <w:overflowPunct w:val="0"/>
        <w:topLinePunct/>
        <w:ind w:firstLine="0" w:firstLineChars="0"/>
        <w:jc w:val="center"/>
        <w:rPr>
          <w:lang w:eastAsia="zh-CN"/>
        </w:rPr>
      </w:pPr>
      <w:r>
        <w:rPr>
          <w:rFonts w:hint="eastAsia"/>
          <w:lang w:eastAsia="zh-CN"/>
        </w:rPr>
        <w:t>图</w:t>
      </w:r>
      <w:r>
        <w:rPr>
          <w:lang w:eastAsia="zh-CN"/>
        </w:rPr>
        <w:t xml:space="preserve">10 </w:t>
      </w:r>
      <w:r>
        <w:rPr>
          <w:rFonts w:hint="eastAsia"/>
          <w:lang w:eastAsia="zh-CN"/>
        </w:rPr>
        <w:t>聚酰胺红外光谱图</w:t>
      </w:r>
    </w:p>
    <w:p w14:paraId="446A9C2C">
      <w:pPr>
        <w:overflowPunct w:val="0"/>
        <w:topLinePunct/>
        <w:ind w:firstLine="480"/>
        <w:rPr>
          <w:lang w:eastAsia="zh-CN"/>
        </w:rPr>
      </w:pPr>
      <w:r>
        <w:rPr>
          <w:rFonts w:hint="eastAsia"/>
          <w:lang w:eastAsia="zh-CN"/>
        </w:rPr>
        <w:t>红外特征吸收波数：</w:t>
      </w:r>
      <w:r>
        <w:rPr>
          <w:lang w:eastAsia="zh-CN"/>
        </w:rPr>
        <w:t>3300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2936</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2863</w:t>
      </w:r>
      <w:r>
        <w:rPr>
          <w:rFonts w:hint="eastAsia"/>
          <w:lang w:eastAsia="zh-CN"/>
        </w:rPr>
        <w:t xml:space="preserve"> </w:t>
      </w:r>
      <w:r>
        <w:rPr>
          <w:lang w:eastAsia="zh-CN"/>
        </w:rPr>
        <w:t>cm</w:t>
      </w:r>
      <w:r>
        <w:rPr>
          <w:vertAlign w:val="superscript"/>
          <w:lang w:eastAsia="zh-CN"/>
        </w:rPr>
        <w:t>-1</w:t>
      </w:r>
      <w:r>
        <w:rPr>
          <w:lang w:eastAsia="zh-CN"/>
        </w:rPr>
        <w:t>、1639</w:t>
      </w:r>
      <w:r>
        <w:rPr>
          <w:rFonts w:hint="eastAsia"/>
          <w:lang w:eastAsia="zh-CN"/>
        </w:rPr>
        <w:t xml:space="preserve"> </w:t>
      </w:r>
      <w:r>
        <w:rPr>
          <w:lang w:eastAsia="zh-CN"/>
        </w:rPr>
        <w:t>cm</w:t>
      </w:r>
      <w:r>
        <w:rPr>
          <w:vertAlign w:val="superscript"/>
          <w:lang w:eastAsia="zh-CN"/>
        </w:rPr>
        <w:t>-1</w:t>
      </w:r>
      <w:r>
        <w:rPr>
          <w:lang w:eastAsia="zh-CN"/>
        </w:rPr>
        <w:t>、1542</w:t>
      </w:r>
      <w:r>
        <w:rPr>
          <w:rFonts w:hint="eastAsia"/>
          <w:lang w:eastAsia="zh-CN"/>
        </w:rPr>
        <w:t xml:space="preserve"> </w:t>
      </w:r>
      <w:r>
        <w:rPr>
          <w:lang w:eastAsia="zh-CN"/>
        </w:rPr>
        <w:t>cm</w:t>
      </w:r>
      <w:r>
        <w:rPr>
          <w:vertAlign w:val="superscript"/>
          <w:lang w:eastAsia="zh-CN"/>
        </w:rPr>
        <w:t>-1</w:t>
      </w:r>
      <w:r>
        <w:rPr>
          <w:lang w:eastAsia="zh-CN"/>
        </w:rPr>
        <w:t>、1468</w:t>
      </w:r>
      <w:r>
        <w:rPr>
          <w:rFonts w:hint="eastAsia"/>
          <w:lang w:eastAsia="zh-CN"/>
        </w:rPr>
        <w:t xml:space="preserve"> </w:t>
      </w:r>
      <w:r>
        <w:rPr>
          <w:lang w:eastAsia="zh-CN"/>
        </w:rPr>
        <w:t>cm</w:t>
      </w:r>
      <w:r>
        <w:rPr>
          <w:vertAlign w:val="superscript"/>
          <w:lang w:eastAsia="zh-CN"/>
        </w:rPr>
        <w:t>-1</w:t>
      </w:r>
      <w:r>
        <w:rPr>
          <w:lang w:eastAsia="zh-CN"/>
        </w:rPr>
        <w:t>、1274</w:t>
      </w:r>
      <w:r>
        <w:rPr>
          <w:rFonts w:hint="eastAsia"/>
          <w:lang w:eastAsia="zh-CN"/>
        </w:rPr>
        <w:t xml:space="preserve"> </w:t>
      </w:r>
      <w:r>
        <w:rPr>
          <w:lang w:eastAsia="zh-CN"/>
        </w:rPr>
        <w:t>cm</w:t>
      </w:r>
      <w:r>
        <w:rPr>
          <w:vertAlign w:val="superscript"/>
          <w:lang w:eastAsia="zh-CN"/>
        </w:rPr>
        <w:t>-1</w:t>
      </w:r>
      <w:r>
        <w:rPr>
          <w:rFonts w:hint="eastAsia"/>
          <w:lang w:eastAsia="zh-CN"/>
        </w:rPr>
        <w:t>。</w:t>
      </w:r>
    </w:p>
    <w:p w14:paraId="63DD4B4C">
      <w:pPr>
        <w:overflowPunct w:val="0"/>
        <w:topLinePunct/>
        <w:ind w:firstLine="0" w:firstLineChars="0"/>
        <w:jc w:val="center"/>
        <w:rPr>
          <w:lang w:eastAsia="zh-CN"/>
        </w:rPr>
      </w:pPr>
      <w:r>
        <w:rPr>
          <w:lang w:eastAsia="zh-CN"/>
        </w:rPr>
        <w:drawing>
          <wp:inline distT="0" distB="0" distL="0" distR="0">
            <wp:extent cx="4572000" cy="2879725"/>
            <wp:effectExtent l="0" t="0" r="0" b="0"/>
            <wp:docPr id="4" name="图片 4" descr="F:\标准\Origin作图\P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标准\Origin作图\PS.t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572000" cy="2880000"/>
                    </a:xfrm>
                    <a:prstGeom prst="rect">
                      <a:avLst/>
                    </a:prstGeom>
                    <a:noFill/>
                    <a:ln>
                      <a:noFill/>
                    </a:ln>
                  </pic:spPr>
                </pic:pic>
              </a:graphicData>
            </a:graphic>
          </wp:inline>
        </w:drawing>
      </w:r>
    </w:p>
    <w:p w14:paraId="671FC138">
      <w:pPr>
        <w:overflowPunct w:val="0"/>
        <w:topLinePunct/>
        <w:ind w:firstLine="0" w:firstLineChars="0"/>
        <w:jc w:val="center"/>
        <w:rPr>
          <w:lang w:eastAsia="zh-CN"/>
        </w:rPr>
      </w:pPr>
      <w:r>
        <w:rPr>
          <w:rFonts w:hint="eastAsia"/>
          <w:lang w:eastAsia="zh-CN"/>
        </w:rPr>
        <w:t>图</w:t>
      </w:r>
      <w:r>
        <w:rPr>
          <w:lang w:eastAsia="zh-CN"/>
        </w:rPr>
        <w:t xml:space="preserve">11 </w:t>
      </w:r>
      <w:r>
        <w:rPr>
          <w:rFonts w:hint="eastAsia"/>
          <w:lang w:eastAsia="zh-CN"/>
        </w:rPr>
        <w:t>聚苯乙烯红外光谱图</w:t>
      </w:r>
    </w:p>
    <w:p w14:paraId="06965583">
      <w:pPr>
        <w:overflowPunct w:val="0"/>
        <w:topLinePunct/>
        <w:ind w:firstLine="480"/>
        <w:rPr>
          <w:lang w:eastAsia="zh-CN"/>
        </w:rPr>
      </w:pPr>
      <w:r>
        <w:rPr>
          <w:rFonts w:hint="eastAsia"/>
          <w:lang w:eastAsia="zh-CN"/>
        </w:rPr>
        <w:t>红外特征吸收波数：</w:t>
      </w:r>
      <w:r>
        <w:rPr>
          <w:lang w:eastAsia="zh-CN"/>
        </w:rPr>
        <w:t>3080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3060</w:t>
      </w:r>
      <w:r>
        <w:rPr>
          <w:rFonts w:hint="eastAsia"/>
          <w:lang w:eastAsia="zh-CN"/>
        </w:rPr>
        <w:t xml:space="preserve"> </w:t>
      </w:r>
      <w:r>
        <w:rPr>
          <w:lang w:eastAsia="zh-CN"/>
        </w:rPr>
        <w:t>cm</w:t>
      </w:r>
      <w:r>
        <w:rPr>
          <w:vertAlign w:val="superscript"/>
          <w:lang w:eastAsia="zh-CN"/>
        </w:rPr>
        <w:t>-1</w:t>
      </w:r>
      <w:r>
        <w:rPr>
          <w:lang w:eastAsia="zh-CN"/>
        </w:rPr>
        <w:t>、3025</w:t>
      </w:r>
      <w:r>
        <w:rPr>
          <w:rFonts w:hint="eastAsia"/>
          <w:lang w:eastAsia="zh-CN"/>
        </w:rPr>
        <w:t xml:space="preserve"> </w:t>
      </w:r>
      <w:r>
        <w:rPr>
          <w:lang w:eastAsia="zh-CN"/>
        </w:rPr>
        <w:t>cm</w:t>
      </w:r>
      <w:r>
        <w:rPr>
          <w:vertAlign w:val="superscript"/>
          <w:lang w:eastAsia="zh-CN"/>
        </w:rPr>
        <w:t>-1</w:t>
      </w:r>
      <w:r>
        <w:rPr>
          <w:lang w:eastAsia="zh-CN"/>
        </w:rPr>
        <w:t>、2922</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2850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1600</w:t>
      </w:r>
      <w:r>
        <w:rPr>
          <w:rFonts w:hint="eastAsia"/>
          <w:lang w:eastAsia="zh-CN"/>
        </w:rPr>
        <w:t xml:space="preserve"> </w:t>
      </w:r>
      <w:r>
        <w:rPr>
          <w:lang w:eastAsia="zh-CN"/>
        </w:rPr>
        <w:t>cm</w:t>
      </w:r>
      <w:r>
        <w:rPr>
          <w:vertAlign w:val="superscript"/>
          <w:lang w:eastAsia="zh-CN"/>
        </w:rPr>
        <w:t>-1</w:t>
      </w:r>
      <w:r>
        <w:rPr>
          <w:lang w:eastAsia="zh-CN"/>
        </w:rPr>
        <w:t>、1580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1490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1450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755</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700</w:t>
      </w:r>
      <w:r>
        <w:rPr>
          <w:rFonts w:hint="eastAsia"/>
          <w:lang w:eastAsia="zh-CN"/>
        </w:rPr>
        <w:t xml:space="preserve"> </w:t>
      </w:r>
      <w:r>
        <w:rPr>
          <w:lang w:eastAsia="zh-CN"/>
        </w:rPr>
        <w:t>cm</w:t>
      </w:r>
      <w:r>
        <w:rPr>
          <w:vertAlign w:val="superscript"/>
          <w:lang w:eastAsia="zh-CN"/>
        </w:rPr>
        <w:t>-1</w:t>
      </w:r>
      <w:r>
        <w:rPr>
          <w:rFonts w:hint="eastAsia"/>
          <w:lang w:eastAsia="zh-CN"/>
        </w:rPr>
        <w:t>。</w:t>
      </w:r>
    </w:p>
    <w:p w14:paraId="114E93BA">
      <w:pPr>
        <w:overflowPunct w:val="0"/>
        <w:topLinePunct/>
        <w:ind w:firstLine="0" w:firstLineChars="0"/>
        <w:jc w:val="center"/>
        <w:rPr>
          <w:lang w:eastAsia="zh-CN"/>
        </w:rPr>
      </w:pPr>
      <w:r>
        <w:rPr>
          <w:lang w:eastAsia="zh-CN"/>
        </w:rPr>
        <w:drawing>
          <wp:inline distT="0" distB="0" distL="0" distR="0">
            <wp:extent cx="4572000" cy="2879725"/>
            <wp:effectExtent l="0" t="0" r="0" b="0"/>
            <wp:docPr id="19" name="图片 19" descr="F:\标准\Origin作图\AB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F:\标准\Origin作图\ABS.t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572000" cy="2880000"/>
                    </a:xfrm>
                    <a:prstGeom prst="rect">
                      <a:avLst/>
                    </a:prstGeom>
                    <a:noFill/>
                    <a:ln>
                      <a:noFill/>
                    </a:ln>
                  </pic:spPr>
                </pic:pic>
              </a:graphicData>
            </a:graphic>
          </wp:inline>
        </w:drawing>
      </w:r>
    </w:p>
    <w:p w14:paraId="0E85F0C2">
      <w:pPr>
        <w:overflowPunct w:val="0"/>
        <w:topLinePunct/>
        <w:ind w:firstLine="0" w:firstLineChars="0"/>
        <w:jc w:val="center"/>
        <w:rPr>
          <w:lang w:eastAsia="zh-CN"/>
        </w:rPr>
      </w:pPr>
      <w:r>
        <w:rPr>
          <w:rFonts w:hint="eastAsia"/>
          <w:lang w:eastAsia="zh-CN"/>
        </w:rPr>
        <w:t>图1</w:t>
      </w:r>
      <w:r>
        <w:rPr>
          <w:lang w:eastAsia="zh-CN"/>
        </w:rPr>
        <w:t xml:space="preserve">2 </w:t>
      </w:r>
      <w:r>
        <w:rPr>
          <w:rFonts w:hint="eastAsia"/>
          <w:lang w:eastAsia="zh-CN"/>
        </w:rPr>
        <w:t>丙烯腈-丁二烯-苯乙烯共聚物红外光谱图</w:t>
      </w:r>
    </w:p>
    <w:p w14:paraId="1BFF9962">
      <w:pPr>
        <w:overflowPunct w:val="0"/>
        <w:topLinePunct/>
        <w:ind w:firstLine="480"/>
        <w:rPr>
          <w:lang w:eastAsia="zh-CN"/>
        </w:rPr>
      </w:pPr>
      <w:r>
        <w:rPr>
          <w:rFonts w:hint="eastAsia"/>
          <w:lang w:eastAsia="zh-CN"/>
        </w:rPr>
        <w:t>红外特征吸收波数：</w:t>
      </w:r>
      <w:r>
        <w:rPr>
          <w:lang w:eastAsia="zh-CN"/>
        </w:rPr>
        <w:t>3058</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3024</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2922</w:t>
      </w:r>
      <w:r>
        <w:rPr>
          <w:rFonts w:hint="eastAsia"/>
          <w:lang w:eastAsia="zh-CN"/>
        </w:rPr>
        <w:t xml:space="preserve"> </w:t>
      </w:r>
      <w:r>
        <w:rPr>
          <w:lang w:eastAsia="zh-CN"/>
        </w:rPr>
        <w:t>cm</w:t>
      </w:r>
      <w:r>
        <w:rPr>
          <w:vertAlign w:val="superscript"/>
          <w:lang w:eastAsia="zh-CN"/>
        </w:rPr>
        <w:t>-1</w:t>
      </w:r>
      <w:r>
        <w:rPr>
          <w:lang w:eastAsia="zh-CN"/>
        </w:rPr>
        <w:t>、2851</w:t>
      </w:r>
      <w:r>
        <w:rPr>
          <w:rFonts w:hint="eastAsia"/>
          <w:lang w:eastAsia="zh-CN"/>
        </w:rPr>
        <w:t xml:space="preserve"> </w:t>
      </w:r>
      <w:r>
        <w:rPr>
          <w:lang w:eastAsia="zh-CN"/>
        </w:rPr>
        <w:t>cm</w:t>
      </w:r>
      <w:r>
        <w:rPr>
          <w:vertAlign w:val="superscript"/>
          <w:lang w:eastAsia="zh-CN"/>
        </w:rPr>
        <w:t>-1</w:t>
      </w:r>
      <w:r>
        <w:rPr>
          <w:lang w:eastAsia="zh-CN"/>
        </w:rPr>
        <w:t>、2237</w:t>
      </w:r>
      <w:r>
        <w:rPr>
          <w:rFonts w:hint="eastAsia"/>
          <w:lang w:eastAsia="zh-CN"/>
        </w:rPr>
        <w:t xml:space="preserve"> </w:t>
      </w:r>
      <w:r>
        <w:rPr>
          <w:lang w:eastAsia="zh-CN"/>
        </w:rPr>
        <w:t>cm</w:t>
      </w:r>
      <w:r>
        <w:rPr>
          <w:vertAlign w:val="superscript"/>
          <w:lang w:eastAsia="zh-CN"/>
        </w:rPr>
        <w:t>-1</w:t>
      </w:r>
      <w:r>
        <w:rPr>
          <w:lang w:eastAsia="zh-CN"/>
        </w:rPr>
        <w:t>、1600</w:t>
      </w:r>
      <w:r>
        <w:rPr>
          <w:rFonts w:hint="eastAsia"/>
          <w:lang w:eastAsia="zh-CN"/>
        </w:rPr>
        <w:t xml:space="preserve"> </w:t>
      </w:r>
      <w:r>
        <w:rPr>
          <w:lang w:eastAsia="zh-CN"/>
        </w:rPr>
        <w:t>cm</w:t>
      </w:r>
      <w:r>
        <w:rPr>
          <w:vertAlign w:val="superscript"/>
          <w:lang w:eastAsia="zh-CN"/>
        </w:rPr>
        <w:t>-1</w:t>
      </w:r>
      <w:r>
        <w:rPr>
          <w:lang w:eastAsia="zh-CN"/>
        </w:rPr>
        <w:t>、1492</w:t>
      </w:r>
      <w:r>
        <w:rPr>
          <w:rFonts w:hint="eastAsia"/>
          <w:lang w:eastAsia="zh-CN"/>
        </w:rPr>
        <w:t xml:space="preserve"> </w:t>
      </w:r>
      <w:r>
        <w:rPr>
          <w:lang w:eastAsia="zh-CN"/>
        </w:rPr>
        <w:t>cm</w:t>
      </w:r>
      <w:r>
        <w:rPr>
          <w:vertAlign w:val="superscript"/>
          <w:lang w:eastAsia="zh-CN"/>
        </w:rPr>
        <w:t>-1</w:t>
      </w:r>
      <w:r>
        <w:rPr>
          <w:lang w:eastAsia="zh-CN"/>
        </w:rPr>
        <w:t>、1450</w:t>
      </w:r>
      <w:r>
        <w:rPr>
          <w:rFonts w:hint="eastAsia"/>
          <w:lang w:eastAsia="zh-CN"/>
        </w:rPr>
        <w:t xml:space="preserve"> </w:t>
      </w:r>
      <w:r>
        <w:rPr>
          <w:lang w:eastAsia="zh-CN"/>
        </w:rPr>
        <w:t>cm</w:t>
      </w:r>
      <w:r>
        <w:rPr>
          <w:vertAlign w:val="superscript"/>
          <w:lang w:eastAsia="zh-CN"/>
        </w:rPr>
        <w:t>-1</w:t>
      </w:r>
      <w:r>
        <w:rPr>
          <w:lang w:eastAsia="zh-CN"/>
        </w:rPr>
        <w:t>、1361</w:t>
      </w:r>
      <w:r>
        <w:rPr>
          <w:rFonts w:hint="eastAsia"/>
          <w:lang w:eastAsia="zh-CN"/>
        </w:rPr>
        <w:t xml:space="preserve"> </w:t>
      </w:r>
      <w:r>
        <w:rPr>
          <w:lang w:eastAsia="zh-CN"/>
        </w:rPr>
        <w:t>cm</w:t>
      </w:r>
      <w:r>
        <w:rPr>
          <w:vertAlign w:val="superscript"/>
          <w:lang w:eastAsia="zh-CN"/>
        </w:rPr>
        <w:t>-1</w:t>
      </w:r>
      <w:r>
        <w:rPr>
          <w:lang w:eastAsia="zh-CN"/>
        </w:rPr>
        <w:t>、1069</w:t>
      </w:r>
      <w:r>
        <w:rPr>
          <w:rFonts w:hint="eastAsia"/>
          <w:lang w:eastAsia="zh-CN"/>
        </w:rPr>
        <w:t xml:space="preserve"> </w:t>
      </w:r>
      <w:r>
        <w:rPr>
          <w:lang w:eastAsia="zh-CN"/>
        </w:rPr>
        <w:t>cm</w:t>
      </w:r>
      <w:r>
        <w:rPr>
          <w:vertAlign w:val="superscript"/>
          <w:lang w:eastAsia="zh-CN"/>
        </w:rPr>
        <w:t>-1</w:t>
      </w:r>
      <w:r>
        <w:rPr>
          <w:lang w:eastAsia="zh-CN"/>
        </w:rPr>
        <w:t>、1026</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966</w:t>
      </w:r>
      <w:r>
        <w:rPr>
          <w:rFonts w:hint="eastAsia"/>
          <w:lang w:eastAsia="zh-CN"/>
        </w:rPr>
        <w:t xml:space="preserve"> </w:t>
      </w:r>
      <w:r>
        <w:rPr>
          <w:lang w:eastAsia="zh-CN"/>
        </w:rPr>
        <w:t>cm</w:t>
      </w:r>
      <w:r>
        <w:rPr>
          <w:vertAlign w:val="superscript"/>
          <w:lang w:eastAsia="zh-CN"/>
        </w:rPr>
        <w:t>-1</w:t>
      </w:r>
      <w:r>
        <w:rPr>
          <w:lang w:eastAsia="zh-CN"/>
        </w:rPr>
        <w:t>、760</w:t>
      </w:r>
      <w:r>
        <w:rPr>
          <w:rFonts w:hint="eastAsia"/>
          <w:lang w:eastAsia="zh-CN"/>
        </w:rPr>
        <w:t xml:space="preserve"> </w:t>
      </w:r>
      <w:r>
        <w:rPr>
          <w:lang w:eastAsia="zh-CN"/>
        </w:rPr>
        <w:t>cm</w:t>
      </w:r>
      <w:r>
        <w:rPr>
          <w:vertAlign w:val="superscript"/>
          <w:lang w:eastAsia="zh-CN"/>
        </w:rPr>
        <w:t>-1</w:t>
      </w:r>
      <w:r>
        <w:rPr>
          <w:rFonts w:hint="eastAsia"/>
          <w:lang w:eastAsia="zh-CN"/>
        </w:rPr>
        <w:t>。</w:t>
      </w:r>
    </w:p>
    <w:p w14:paraId="30C6BDC9">
      <w:pPr>
        <w:overflowPunct w:val="0"/>
        <w:topLinePunct/>
        <w:ind w:firstLine="0" w:firstLineChars="0"/>
        <w:jc w:val="center"/>
        <w:rPr>
          <w:lang w:eastAsia="zh-CN"/>
        </w:rPr>
      </w:pPr>
      <w:r>
        <w:rPr>
          <w:lang w:eastAsia="zh-CN"/>
        </w:rPr>
        <w:drawing>
          <wp:inline distT="0" distB="0" distL="0" distR="0">
            <wp:extent cx="4572000" cy="2879725"/>
            <wp:effectExtent l="0" t="0" r="0" b="0"/>
            <wp:docPr id="10" name="图片 10" descr="F:\标准\Origin作图\EV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标准\Origin作图\EVA.t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572000" cy="2880000"/>
                    </a:xfrm>
                    <a:prstGeom prst="rect">
                      <a:avLst/>
                    </a:prstGeom>
                    <a:noFill/>
                    <a:ln>
                      <a:noFill/>
                    </a:ln>
                  </pic:spPr>
                </pic:pic>
              </a:graphicData>
            </a:graphic>
          </wp:inline>
        </w:drawing>
      </w:r>
    </w:p>
    <w:p w14:paraId="483BA9E5">
      <w:pPr>
        <w:overflowPunct w:val="0"/>
        <w:topLinePunct/>
        <w:ind w:firstLine="0" w:firstLineChars="0"/>
        <w:jc w:val="center"/>
        <w:rPr>
          <w:lang w:eastAsia="zh-CN"/>
        </w:rPr>
      </w:pPr>
      <w:r>
        <w:rPr>
          <w:rFonts w:hint="eastAsia"/>
          <w:lang w:eastAsia="zh-CN"/>
        </w:rPr>
        <w:t>图1</w:t>
      </w:r>
      <w:r>
        <w:rPr>
          <w:lang w:eastAsia="zh-CN"/>
        </w:rPr>
        <w:t xml:space="preserve">3 </w:t>
      </w:r>
      <w:r>
        <w:rPr>
          <w:rFonts w:hint="eastAsia"/>
          <w:lang w:eastAsia="zh-CN"/>
        </w:rPr>
        <w:t>乙烯-乙酸乙烯酯共聚物红外光谱图</w:t>
      </w:r>
    </w:p>
    <w:p w14:paraId="2E1D8519">
      <w:pPr>
        <w:overflowPunct w:val="0"/>
        <w:topLinePunct/>
        <w:ind w:firstLine="480"/>
        <w:rPr>
          <w:lang w:eastAsia="zh-CN"/>
        </w:rPr>
      </w:pPr>
      <w:bookmarkStart w:id="36" w:name="OLE_LINK24"/>
      <w:bookmarkStart w:id="37" w:name="OLE_LINK26"/>
      <w:r>
        <w:rPr>
          <w:rFonts w:hint="eastAsia"/>
          <w:lang w:eastAsia="zh-CN"/>
        </w:rPr>
        <w:t>红外特征吸收波数：</w:t>
      </w:r>
      <w:r>
        <w:rPr>
          <w:lang w:eastAsia="zh-CN"/>
        </w:rPr>
        <w:t>2925</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2854</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1738</w:t>
      </w:r>
      <w:r>
        <w:rPr>
          <w:rFonts w:hint="eastAsia"/>
          <w:lang w:eastAsia="zh-CN"/>
        </w:rPr>
        <w:t xml:space="preserve"> </w:t>
      </w:r>
      <w:r>
        <w:rPr>
          <w:lang w:eastAsia="zh-CN"/>
        </w:rPr>
        <w:t>cm</w:t>
      </w:r>
      <w:r>
        <w:rPr>
          <w:vertAlign w:val="superscript"/>
          <w:lang w:eastAsia="zh-CN"/>
        </w:rPr>
        <w:t>-1</w:t>
      </w:r>
      <w:r>
        <w:rPr>
          <w:lang w:eastAsia="zh-CN"/>
        </w:rPr>
        <w:t>、1460</w:t>
      </w:r>
      <w:r>
        <w:rPr>
          <w:rFonts w:hint="eastAsia"/>
          <w:lang w:eastAsia="zh-CN"/>
        </w:rPr>
        <w:t xml:space="preserve"> </w:t>
      </w:r>
      <w:r>
        <w:rPr>
          <w:lang w:eastAsia="zh-CN"/>
        </w:rPr>
        <w:t>cm</w:t>
      </w:r>
      <w:r>
        <w:rPr>
          <w:vertAlign w:val="superscript"/>
          <w:lang w:eastAsia="zh-CN"/>
        </w:rPr>
        <w:t>-1</w:t>
      </w:r>
      <w:r>
        <w:rPr>
          <w:lang w:eastAsia="zh-CN"/>
        </w:rPr>
        <w:t>、1370</w:t>
      </w:r>
      <w:r>
        <w:rPr>
          <w:rFonts w:hint="eastAsia"/>
          <w:lang w:eastAsia="zh-CN"/>
        </w:rPr>
        <w:t xml:space="preserve"> </w:t>
      </w:r>
      <w:r>
        <w:rPr>
          <w:lang w:eastAsia="zh-CN"/>
        </w:rPr>
        <w:t>cm</w:t>
      </w:r>
      <w:r>
        <w:rPr>
          <w:vertAlign w:val="superscript"/>
          <w:lang w:eastAsia="zh-CN"/>
        </w:rPr>
        <w:t>-1</w:t>
      </w:r>
      <w:r>
        <w:rPr>
          <w:lang w:eastAsia="zh-CN"/>
        </w:rPr>
        <w:t>、1242</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1020</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952</w:t>
      </w:r>
      <w:r>
        <w:rPr>
          <w:rFonts w:hint="eastAsia"/>
          <w:lang w:eastAsia="zh-CN"/>
        </w:rPr>
        <w:t xml:space="preserve"> </w:t>
      </w:r>
      <w:r>
        <w:rPr>
          <w:lang w:eastAsia="zh-CN"/>
        </w:rPr>
        <w:t>cm</w:t>
      </w:r>
      <w:r>
        <w:rPr>
          <w:vertAlign w:val="superscript"/>
          <w:lang w:eastAsia="zh-CN"/>
        </w:rPr>
        <w:t>-1</w:t>
      </w:r>
      <w:r>
        <w:rPr>
          <w:lang w:eastAsia="zh-CN"/>
        </w:rPr>
        <w:t>、721</w:t>
      </w:r>
      <w:r>
        <w:rPr>
          <w:rFonts w:hint="eastAsia"/>
          <w:lang w:eastAsia="zh-CN"/>
        </w:rPr>
        <w:t xml:space="preserve"> </w:t>
      </w:r>
      <w:r>
        <w:rPr>
          <w:lang w:eastAsia="zh-CN"/>
        </w:rPr>
        <w:t>cm</w:t>
      </w:r>
      <w:r>
        <w:rPr>
          <w:vertAlign w:val="superscript"/>
          <w:lang w:eastAsia="zh-CN"/>
        </w:rPr>
        <w:t>-1</w:t>
      </w:r>
      <w:r>
        <w:rPr>
          <w:rFonts w:hint="eastAsia"/>
          <w:lang w:eastAsia="zh-CN"/>
        </w:rPr>
        <w:t>、</w:t>
      </w:r>
      <w:r>
        <w:rPr>
          <w:lang w:eastAsia="zh-CN"/>
        </w:rPr>
        <w:t>607</w:t>
      </w:r>
      <w:r>
        <w:rPr>
          <w:rFonts w:hint="eastAsia"/>
          <w:lang w:eastAsia="zh-CN"/>
        </w:rPr>
        <w:t xml:space="preserve"> </w:t>
      </w:r>
      <w:r>
        <w:rPr>
          <w:lang w:eastAsia="zh-CN"/>
        </w:rPr>
        <w:t>cm</w:t>
      </w:r>
      <w:r>
        <w:rPr>
          <w:vertAlign w:val="superscript"/>
          <w:lang w:eastAsia="zh-CN"/>
        </w:rPr>
        <w:t>-1</w:t>
      </w:r>
      <w:r>
        <w:rPr>
          <w:rFonts w:hint="eastAsia"/>
          <w:lang w:eastAsia="zh-CN"/>
        </w:rPr>
        <w:t>。</w:t>
      </w:r>
      <w:bookmarkEnd w:id="36"/>
      <w:bookmarkEnd w:id="37"/>
    </w:p>
    <w:p w14:paraId="1F63E08A">
      <w:pPr>
        <w:pStyle w:val="2"/>
        <w:overflowPunct w:val="0"/>
        <w:topLinePunct/>
        <w:spacing w:before="120" w:after="120"/>
        <w:rPr>
          <w:lang w:eastAsia="zh-CN"/>
        </w:rPr>
      </w:pPr>
      <w:bookmarkStart w:id="38" w:name="_Toc211857921"/>
      <w:r>
        <w:rPr>
          <w:lang w:eastAsia="zh-CN"/>
        </w:rPr>
        <w:t>4  标准中涉及专利情况</w:t>
      </w:r>
      <w:bookmarkEnd w:id="38"/>
    </w:p>
    <w:p w14:paraId="55A9D95C">
      <w:pPr>
        <w:widowControl/>
        <w:overflowPunct w:val="0"/>
        <w:topLinePunct/>
        <w:ind w:firstLine="480"/>
        <w:textAlignment w:val="baseline"/>
        <w:rPr>
          <w:rFonts w:cs="Times New Roman" w:eastAsiaTheme="minorEastAsia"/>
          <w:bCs/>
          <w:kern w:val="24"/>
          <w:szCs w:val="32"/>
          <w:lang w:eastAsia="zh-CN"/>
        </w:rPr>
      </w:pPr>
      <w:r>
        <w:rPr>
          <w:rFonts w:cs="Times New Roman" w:eastAsiaTheme="minorEastAsia"/>
          <w:bCs/>
          <w:kern w:val="24"/>
          <w:szCs w:val="32"/>
          <w:lang w:eastAsia="zh-CN"/>
        </w:rPr>
        <w:t>标准起草工作小组未发现本标准及相关专利的内容，不存在涉及的相关专利问题。</w:t>
      </w:r>
    </w:p>
    <w:p w14:paraId="70048658">
      <w:pPr>
        <w:pStyle w:val="2"/>
        <w:overflowPunct w:val="0"/>
        <w:topLinePunct/>
        <w:spacing w:before="120" w:after="120"/>
        <w:rPr>
          <w:lang w:eastAsia="zh-CN"/>
        </w:rPr>
      </w:pPr>
      <w:bookmarkStart w:id="39" w:name="_Toc211857922"/>
      <w:r>
        <w:rPr>
          <w:lang w:eastAsia="zh-CN"/>
        </w:rPr>
        <w:t>5  产业化情况、推广应用论证和预期达到的经济效果等情况</w:t>
      </w:r>
      <w:bookmarkEnd w:id="39"/>
    </w:p>
    <w:p w14:paraId="78A2DBB2">
      <w:pPr>
        <w:widowControl/>
        <w:overflowPunct w:val="0"/>
        <w:topLinePunct/>
        <w:ind w:firstLine="480"/>
        <w:textAlignment w:val="baseline"/>
        <w:rPr>
          <w:rFonts w:cs="Times New Roman" w:eastAsiaTheme="minorEastAsia"/>
          <w:bCs/>
          <w:kern w:val="24"/>
          <w:szCs w:val="32"/>
          <w:lang w:eastAsia="zh-CN"/>
        </w:rPr>
      </w:pPr>
      <w:r>
        <w:rPr>
          <w:rFonts w:ascii="Segoe UI" w:hAnsi="Segoe UI" w:cs="Segoe UI"/>
          <w:shd w:val="clear" w:color="auto" w:fill="FFFFFF"/>
          <w:lang w:eastAsia="zh-CN"/>
        </w:rPr>
        <w:t>本标准的实施，可实现对建筑塑料制品中合成树脂种类的快速、精准鉴定。从化学组成层面为甄别建筑塑料制品质量优劣提供技术依据，有效规范市场经营秩序，防范以次充好、假冒伪劣等行业乱象，切实维护消费者合法权益</w:t>
      </w:r>
      <w:r>
        <w:rPr>
          <w:rFonts w:hint="eastAsia" w:ascii="Segoe UI" w:hAnsi="Segoe UI" w:cs="Segoe UI"/>
          <w:shd w:val="clear" w:color="auto" w:fill="FFFFFF"/>
          <w:lang w:eastAsia="zh-CN"/>
        </w:rPr>
        <w:t>。</w:t>
      </w:r>
      <w:r>
        <w:rPr>
          <w:rFonts w:hint="eastAsia" w:cs="Times New Roman" w:eastAsiaTheme="minorEastAsia"/>
          <w:bCs/>
          <w:kern w:val="24"/>
          <w:szCs w:val="32"/>
          <w:lang w:eastAsia="zh-CN"/>
        </w:rPr>
        <w:t>也有利于推动产业升级，促进产品技术进步，引导产业健康有序发展。对规范我国建筑塑料制品行业的良性发展发挥重要的技术支撑和技术引领作用。本标准的制定将显著提升行业规范化水平，促进产品质量提升，推动产业高质量发展，并带来广泛的经济和社会效益。</w:t>
      </w:r>
    </w:p>
    <w:p w14:paraId="1AD33414">
      <w:pPr>
        <w:pStyle w:val="2"/>
        <w:overflowPunct w:val="0"/>
        <w:topLinePunct/>
        <w:spacing w:before="120" w:after="120"/>
        <w:rPr>
          <w:lang w:eastAsia="zh-CN"/>
        </w:rPr>
      </w:pPr>
      <w:bookmarkStart w:id="40" w:name="_Toc211857923"/>
      <w:r>
        <w:rPr>
          <w:lang w:eastAsia="zh-CN"/>
        </w:rPr>
        <w:t>6  国外采标及对比情况</w:t>
      </w:r>
      <w:bookmarkEnd w:id="40"/>
    </w:p>
    <w:p w14:paraId="338192D9">
      <w:pPr>
        <w:widowControl/>
        <w:overflowPunct w:val="0"/>
        <w:topLinePunct/>
        <w:ind w:firstLine="480"/>
        <w:textAlignment w:val="baseline"/>
        <w:rPr>
          <w:rFonts w:cs="Times New Roman" w:eastAsiaTheme="minorEastAsia"/>
          <w:bCs/>
          <w:kern w:val="24"/>
          <w:szCs w:val="32"/>
          <w:lang w:eastAsia="zh-CN"/>
        </w:rPr>
      </w:pPr>
      <w:r>
        <w:rPr>
          <w:rFonts w:cs="Times New Roman" w:eastAsiaTheme="minorEastAsia"/>
          <w:bCs/>
          <w:kern w:val="24"/>
          <w:szCs w:val="32"/>
          <w:lang w:eastAsia="zh-CN"/>
        </w:rPr>
        <w:t>无。</w:t>
      </w:r>
    </w:p>
    <w:p w14:paraId="0CEB4F6C">
      <w:pPr>
        <w:pStyle w:val="2"/>
        <w:overflowPunct w:val="0"/>
        <w:topLinePunct/>
        <w:spacing w:before="120" w:after="120"/>
        <w:rPr>
          <w:lang w:eastAsia="zh-CN"/>
        </w:rPr>
      </w:pPr>
      <w:bookmarkStart w:id="41" w:name="_Toc211857924"/>
      <w:r>
        <w:rPr>
          <w:lang w:eastAsia="zh-CN"/>
        </w:rPr>
        <w:t>7  与现行法律、法规和强制性国家标准的关系</w:t>
      </w:r>
      <w:bookmarkEnd w:id="41"/>
    </w:p>
    <w:p w14:paraId="3A52ABBD">
      <w:pPr>
        <w:overflowPunct w:val="0"/>
        <w:topLinePunct/>
        <w:ind w:firstLine="480"/>
        <w:rPr>
          <w:color w:val="000000"/>
          <w:szCs w:val="24"/>
          <w:lang w:eastAsia="zh-CN"/>
        </w:rPr>
      </w:pPr>
      <w:r>
        <w:rPr>
          <w:rFonts w:hint="eastAsia"/>
          <w:color w:val="000000"/>
          <w:szCs w:val="24"/>
          <w:lang w:eastAsia="zh-CN"/>
        </w:rPr>
        <w:t>本标准的制定与现行法律、法规和强制性国家标准无冲突。</w:t>
      </w:r>
    </w:p>
    <w:p w14:paraId="109352C5">
      <w:pPr>
        <w:overflowPunct w:val="0"/>
        <w:topLinePunct/>
        <w:ind w:firstLine="480"/>
        <w:rPr>
          <w:szCs w:val="24"/>
          <w:lang w:eastAsia="zh-CN"/>
        </w:rPr>
      </w:pPr>
      <w:r>
        <w:rPr>
          <w:rFonts w:hint="eastAsia"/>
          <w:szCs w:val="24"/>
          <w:lang w:eastAsia="zh-CN"/>
        </w:rPr>
        <w:t>目前国内对于建筑塑料制品中合成树脂种类鉴定无相关测试标准，本标准提出了合成树脂种类鉴定的测试方法，与现有标准及制定中的标准均无冲突及重复，与现有标准是相互支撑的关系，总体是对现有标准体系有效补充和完善。</w:t>
      </w:r>
    </w:p>
    <w:p w14:paraId="7EDB12A0">
      <w:pPr>
        <w:pStyle w:val="2"/>
        <w:overflowPunct w:val="0"/>
        <w:topLinePunct/>
        <w:spacing w:before="120" w:after="120"/>
        <w:rPr>
          <w:lang w:eastAsia="zh-CN"/>
        </w:rPr>
      </w:pPr>
      <w:bookmarkStart w:id="42" w:name="_Toc211857925"/>
      <w:r>
        <w:rPr>
          <w:lang w:eastAsia="zh-CN"/>
        </w:rPr>
        <w:t>8  重大分歧意见的处理经过和依据</w:t>
      </w:r>
      <w:bookmarkEnd w:id="42"/>
    </w:p>
    <w:p w14:paraId="356673C5">
      <w:pPr>
        <w:widowControl/>
        <w:overflowPunct w:val="0"/>
        <w:topLinePunct/>
        <w:ind w:firstLine="480"/>
        <w:textAlignment w:val="baseline"/>
        <w:rPr>
          <w:color w:val="000000"/>
          <w:szCs w:val="24"/>
          <w:lang w:eastAsia="zh-CN"/>
        </w:rPr>
      </w:pPr>
      <w:r>
        <w:rPr>
          <w:rFonts w:hint="eastAsia"/>
          <w:color w:val="000000"/>
          <w:szCs w:val="24"/>
          <w:lang w:eastAsia="zh-CN"/>
        </w:rPr>
        <w:t>无重大分歧意见。</w:t>
      </w:r>
    </w:p>
    <w:p w14:paraId="367418EB">
      <w:pPr>
        <w:pStyle w:val="2"/>
        <w:overflowPunct w:val="0"/>
        <w:topLinePunct/>
        <w:spacing w:before="120" w:after="120"/>
        <w:rPr>
          <w:lang w:eastAsia="zh-CN"/>
        </w:rPr>
      </w:pPr>
      <w:bookmarkStart w:id="43" w:name="_Toc211857926"/>
      <w:r>
        <w:rPr>
          <w:lang w:eastAsia="zh-CN"/>
        </w:rPr>
        <w:t>9  标准性质的建议说明</w:t>
      </w:r>
      <w:bookmarkEnd w:id="43"/>
    </w:p>
    <w:p w14:paraId="1EECCCBC">
      <w:pPr>
        <w:widowControl/>
        <w:overflowPunct w:val="0"/>
        <w:topLinePunct/>
        <w:ind w:firstLine="480"/>
        <w:textAlignment w:val="baseline"/>
        <w:rPr>
          <w:rFonts w:cs="Times New Roman" w:eastAsiaTheme="minorEastAsia"/>
          <w:bCs/>
          <w:kern w:val="24"/>
          <w:szCs w:val="32"/>
          <w:lang w:eastAsia="zh-CN"/>
        </w:rPr>
      </w:pPr>
      <w:r>
        <w:rPr>
          <w:rFonts w:cs="Times New Roman" w:eastAsiaTheme="minorEastAsia"/>
          <w:bCs/>
          <w:kern w:val="24"/>
          <w:szCs w:val="32"/>
          <w:lang w:eastAsia="zh-CN"/>
        </w:rPr>
        <w:t>本标准建议作为推荐性国家标准。</w:t>
      </w:r>
    </w:p>
    <w:p w14:paraId="7D770835">
      <w:pPr>
        <w:pStyle w:val="2"/>
        <w:overflowPunct w:val="0"/>
        <w:topLinePunct/>
        <w:spacing w:before="120" w:after="120"/>
        <w:rPr>
          <w:lang w:eastAsia="zh-CN"/>
        </w:rPr>
      </w:pPr>
      <w:bookmarkStart w:id="44" w:name="_Toc211857927"/>
      <w:r>
        <w:rPr>
          <w:lang w:eastAsia="zh-CN"/>
        </w:rPr>
        <w:t>10  贯彻标准的要求和措施建议</w:t>
      </w:r>
      <w:bookmarkEnd w:id="44"/>
    </w:p>
    <w:p w14:paraId="5A82D722">
      <w:pPr>
        <w:overflowPunct w:val="0"/>
        <w:topLinePunct/>
        <w:ind w:firstLine="480"/>
        <w:rPr>
          <w:rFonts w:cs="Times New Roman" w:eastAsiaTheme="minorEastAsia"/>
          <w:color w:val="000000"/>
          <w:szCs w:val="24"/>
          <w:lang w:eastAsia="zh-CN"/>
        </w:rPr>
      </w:pPr>
      <w:r>
        <w:rPr>
          <w:rFonts w:cs="Times New Roman" w:eastAsiaTheme="minorEastAsia"/>
          <w:color w:val="000000"/>
          <w:szCs w:val="24"/>
          <w:lang w:eastAsia="zh-CN"/>
        </w:rPr>
        <w:t>建议本标准发布后6个月实施。</w:t>
      </w:r>
    </w:p>
    <w:p w14:paraId="6884132F">
      <w:pPr>
        <w:pStyle w:val="2"/>
        <w:overflowPunct w:val="0"/>
        <w:topLinePunct/>
        <w:spacing w:before="120" w:after="120"/>
        <w:rPr>
          <w:lang w:eastAsia="zh-CN"/>
        </w:rPr>
      </w:pPr>
      <w:bookmarkStart w:id="45" w:name="_Toc211857928"/>
      <w:r>
        <w:rPr>
          <w:lang w:eastAsia="zh-CN"/>
        </w:rPr>
        <w:t>11  废止现行相关标准的建议</w:t>
      </w:r>
      <w:bookmarkEnd w:id="45"/>
    </w:p>
    <w:p w14:paraId="2DE0D821">
      <w:pPr>
        <w:widowControl/>
        <w:overflowPunct w:val="0"/>
        <w:topLinePunct/>
        <w:ind w:firstLine="480"/>
        <w:textAlignment w:val="baseline"/>
        <w:rPr>
          <w:rFonts w:cs="Times New Roman" w:eastAsiaTheme="minorEastAsia"/>
          <w:bCs/>
          <w:kern w:val="24"/>
          <w:szCs w:val="32"/>
          <w:lang w:eastAsia="zh-CN"/>
        </w:rPr>
      </w:pPr>
      <w:r>
        <w:rPr>
          <w:rFonts w:cs="Times New Roman" w:eastAsiaTheme="minorEastAsia"/>
          <w:bCs/>
          <w:kern w:val="24"/>
          <w:szCs w:val="32"/>
          <w:lang w:eastAsia="zh-CN"/>
        </w:rPr>
        <w:t>无</w:t>
      </w:r>
    </w:p>
    <w:p w14:paraId="25D02C9A">
      <w:pPr>
        <w:pStyle w:val="2"/>
        <w:overflowPunct w:val="0"/>
        <w:topLinePunct/>
        <w:spacing w:before="120" w:after="120"/>
        <w:rPr>
          <w:lang w:eastAsia="zh-CN"/>
        </w:rPr>
      </w:pPr>
      <w:bookmarkStart w:id="46" w:name="_Toc211857929"/>
      <w:r>
        <w:rPr>
          <w:lang w:eastAsia="zh-CN"/>
        </w:rPr>
        <w:t>12  其它应予说明的事项</w:t>
      </w:r>
      <w:bookmarkEnd w:id="46"/>
    </w:p>
    <w:p w14:paraId="1BE4FD93">
      <w:pPr>
        <w:widowControl/>
        <w:overflowPunct w:val="0"/>
        <w:topLinePunct/>
        <w:ind w:firstLine="480"/>
        <w:textAlignment w:val="baseline"/>
        <w:rPr>
          <w:rFonts w:cs="Times New Roman" w:eastAsiaTheme="minorEastAsia"/>
          <w:bCs/>
          <w:kern w:val="24"/>
          <w:szCs w:val="32"/>
          <w:lang w:eastAsia="zh-CN"/>
        </w:rPr>
        <w:sectPr>
          <w:footerReference r:id="rId11" w:type="default"/>
          <w:pgSz w:w="11910" w:h="16840"/>
          <w:pgMar w:top="1440" w:right="1080" w:bottom="1440" w:left="1080" w:header="720" w:footer="720" w:gutter="0"/>
          <w:cols w:space="720" w:num="1"/>
          <w:docGrid w:linePitch="299" w:charSpace="0"/>
        </w:sectPr>
      </w:pPr>
      <w:r>
        <w:rPr>
          <w:rFonts w:hint="eastAsia" w:cs="Times New Roman" w:eastAsiaTheme="minorEastAsia"/>
          <w:bCs/>
          <w:kern w:val="24"/>
          <w:szCs w:val="32"/>
          <w:lang w:eastAsia="zh-CN"/>
        </w:rPr>
        <w:t>无</w:t>
      </w:r>
    </w:p>
    <w:p w14:paraId="79A25663">
      <w:pPr>
        <w:pStyle w:val="2"/>
        <w:overflowPunct w:val="0"/>
        <w:topLinePunct/>
        <w:spacing w:before="120" w:after="120"/>
        <w:rPr>
          <w:sz w:val="28"/>
          <w:lang w:eastAsia="zh-CN"/>
        </w:rPr>
      </w:pPr>
      <w:bookmarkStart w:id="47" w:name="_Toc211857930"/>
      <w:r>
        <w:rPr>
          <w:sz w:val="28"/>
          <w:lang w:eastAsia="zh-CN"/>
        </w:rPr>
        <w:t>附件1  验证试验报告</w:t>
      </w:r>
      <w:bookmarkEnd w:id="47"/>
    </w:p>
    <w:p w14:paraId="5EC7D5B1">
      <w:pPr>
        <w:overflowPunct w:val="0"/>
        <w:topLinePunct/>
        <w:ind w:firstLine="480"/>
        <w:rPr>
          <w:lang w:eastAsia="zh-CN"/>
        </w:rPr>
      </w:pPr>
      <w:r>
        <w:rPr>
          <w:rFonts w:hint="eastAsia"/>
          <w:lang w:eastAsia="zh-CN"/>
        </w:rPr>
        <w:t>项目组从收集的样品中遴选出</w:t>
      </w:r>
      <w:r>
        <w:rPr>
          <w:lang w:eastAsia="zh-CN"/>
        </w:rPr>
        <w:t>12</w:t>
      </w:r>
      <w:r>
        <w:rPr>
          <w:rFonts w:hint="eastAsia"/>
          <w:lang w:eastAsia="zh-CN"/>
        </w:rPr>
        <w:t>种不同的建筑塑料制品</w:t>
      </w:r>
      <w:r>
        <w:rPr>
          <w:rFonts w:ascii="Segoe UI" w:hAnsi="Segoe UI" w:cs="Segoe UI"/>
          <w:shd w:val="clear" w:color="auto" w:fill="FFFFFF"/>
          <w:lang w:eastAsia="zh-CN"/>
        </w:rPr>
        <w:t>合成树脂</w:t>
      </w:r>
      <w:r>
        <w:rPr>
          <w:rFonts w:hint="eastAsia" w:ascii="Segoe UI" w:hAnsi="Segoe UI" w:cs="Segoe UI"/>
          <w:shd w:val="clear" w:color="auto" w:fill="FFFFFF"/>
          <w:lang w:eastAsia="zh-CN"/>
        </w:rPr>
        <w:t>样品</w:t>
      </w:r>
      <w:r>
        <w:rPr>
          <w:lang w:eastAsia="zh-CN"/>
        </w:rPr>
        <w:t>，用于</w:t>
      </w:r>
      <w:r>
        <w:rPr>
          <w:rFonts w:hint="eastAsia"/>
          <w:lang w:eastAsia="zh-CN"/>
        </w:rPr>
        <w:t>开展系列验证实验，具体样品信息见附表1。</w:t>
      </w:r>
    </w:p>
    <w:p w14:paraId="335DC6C3">
      <w:pPr>
        <w:pStyle w:val="7"/>
        <w:keepNext/>
        <w:overflowPunct w:val="0"/>
        <w:topLinePunct/>
        <w:ind w:firstLine="480"/>
        <w:jc w:val="center"/>
        <w:rPr>
          <w:rFonts w:ascii="Times New Roman" w:hAnsi="Times New Roman" w:eastAsia="宋体" w:cs="Times New Roman"/>
          <w:sz w:val="24"/>
          <w:szCs w:val="21"/>
          <w:lang w:eastAsia="zh-CN"/>
        </w:rPr>
      </w:pPr>
      <w:r>
        <w:rPr>
          <w:rFonts w:hint="eastAsia" w:ascii="Times New Roman" w:hAnsi="Times New Roman" w:eastAsia="宋体" w:cs="Times New Roman"/>
          <w:sz w:val="24"/>
          <w:szCs w:val="21"/>
          <w:lang w:eastAsia="zh-CN"/>
        </w:rPr>
        <w:t>附</w:t>
      </w:r>
      <w:r>
        <w:rPr>
          <w:rFonts w:ascii="Times New Roman" w:hAnsi="Times New Roman" w:eastAsia="宋体" w:cs="Times New Roman"/>
          <w:sz w:val="24"/>
          <w:szCs w:val="21"/>
          <w:lang w:eastAsia="zh-CN"/>
        </w:rPr>
        <w:t xml:space="preserve">表 </w:t>
      </w:r>
      <w:r>
        <w:rPr>
          <w:rFonts w:ascii="Times New Roman" w:hAnsi="Times New Roman" w:eastAsia="宋体" w:cs="Times New Roman"/>
          <w:sz w:val="24"/>
          <w:szCs w:val="21"/>
          <w:lang w:eastAsia="zh-CN"/>
        </w:rPr>
        <w:fldChar w:fldCharType="begin"/>
      </w:r>
      <w:r>
        <w:rPr>
          <w:rFonts w:ascii="Times New Roman" w:hAnsi="Times New Roman" w:eastAsia="宋体" w:cs="Times New Roman"/>
          <w:sz w:val="24"/>
          <w:szCs w:val="21"/>
          <w:lang w:eastAsia="zh-CN"/>
        </w:rPr>
        <w:instrText xml:space="preserve"> SEQ 附表 \* ARABIC </w:instrText>
      </w:r>
      <w:r>
        <w:rPr>
          <w:rFonts w:ascii="Times New Roman" w:hAnsi="Times New Roman" w:eastAsia="宋体" w:cs="Times New Roman"/>
          <w:sz w:val="24"/>
          <w:szCs w:val="21"/>
          <w:lang w:eastAsia="zh-CN"/>
        </w:rPr>
        <w:fldChar w:fldCharType="separate"/>
      </w:r>
      <w:r>
        <w:rPr>
          <w:rFonts w:ascii="Times New Roman" w:hAnsi="Times New Roman" w:eastAsia="宋体" w:cs="Times New Roman"/>
          <w:sz w:val="24"/>
          <w:szCs w:val="21"/>
          <w:lang w:eastAsia="zh-CN"/>
        </w:rPr>
        <w:t>1</w:t>
      </w:r>
      <w:r>
        <w:rPr>
          <w:rFonts w:ascii="Times New Roman" w:hAnsi="Times New Roman" w:eastAsia="宋体" w:cs="Times New Roman"/>
          <w:sz w:val="24"/>
          <w:szCs w:val="21"/>
          <w:lang w:eastAsia="zh-CN"/>
        </w:rPr>
        <w:fldChar w:fldCharType="end"/>
      </w:r>
      <w:r>
        <w:rPr>
          <w:rFonts w:ascii="Times New Roman" w:hAnsi="Times New Roman" w:eastAsia="宋体" w:cs="Times New Roman"/>
          <w:sz w:val="24"/>
          <w:szCs w:val="21"/>
          <w:lang w:eastAsia="zh-CN"/>
        </w:rPr>
        <w:t>验证实验样品信息</w:t>
      </w:r>
    </w:p>
    <w:tbl>
      <w:tblPr>
        <w:tblStyle w:val="20"/>
        <w:tblW w:w="7920" w:type="dxa"/>
        <w:tblInd w:w="99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49"/>
        <w:gridCol w:w="2257"/>
        <w:gridCol w:w="2771"/>
        <w:gridCol w:w="1743"/>
      </w:tblGrid>
      <w:tr w14:paraId="07A963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shd w:val="clear" w:color="auto" w:fill="D7D7D7" w:themeFill="background1" w:themeFillShade="D8"/>
          </w:tcPr>
          <w:p w14:paraId="58D9635C">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样品编号</w:t>
            </w:r>
          </w:p>
        </w:tc>
        <w:tc>
          <w:tcPr>
            <w:tcW w:w="2257" w:type="dxa"/>
            <w:shd w:val="clear" w:color="auto" w:fill="D7D7D7" w:themeFill="background1" w:themeFillShade="D8"/>
            <w:vAlign w:val="center"/>
          </w:tcPr>
          <w:p w14:paraId="26C59EC2">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样品名称</w:t>
            </w:r>
          </w:p>
        </w:tc>
        <w:tc>
          <w:tcPr>
            <w:tcW w:w="2771" w:type="dxa"/>
            <w:shd w:val="clear" w:color="auto" w:fill="D7D7D7" w:themeFill="background1" w:themeFillShade="D8"/>
            <w:vAlign w:val="center"/>
          </w:tcPr>
          <w:p w14:paraId="06684642">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树脂类型</w:t>
            </w:r>
          </w:p>
        </w:tc>
        <w:tc>
          <w:tcPr>
            <w:tcW w:w="1743" w:type="dxa"/>
            <w:shd w:val="clear" w:color="auto" w:fill="D7D7D7" w:themeFill="background1" w:themeFillShade="D8"/>
            <w:vAlign w:val="center"/>
          </w:tcPr>
          <w:p w14:paraId="695BF3EB">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树脂缩写</w:t>
            </w:r>
          </w:p>
        </w:tc>
      </w:tr>
      <w:tr w14:paraId="7E8A2C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084AAE8A">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1</w:t>
            </w:r>
            <w:r>
              <w:rPr>
                <w:sz w:val="21"/>
                <w:szCs w:val="21"/>
                <w:lang w:eastAsia="zh-CN"/>
              </w:rPr>
              <w:t>#</w:t>
            </w:r>
          </w:p>
        </w:tc>
        <w:tc>
          <w:tcPr>
            <w:tcW w:w="2257" w:type="dxa"/>
            <w:shd w:val="clear" w:color="auto" w:fill="auto"/>
            <w:vAlign w:val="center"/>
          </w:tcPr>
          <w:p w14:paraId="3416A76B">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玻璃钢</w:t>
            </w:r>
          </w:p>
        </w:tc>
        <w:tc>
          <w:tcPr>
            <w:tcW w:w="2771" w:type="dxa"/>
            <w:vAlign w:val="center"/>
          </w:tcPr>
          <w:p w14:paraId="6421920E">
            <w:pPr>
              <w:widowControl/>
              <w:tabs>
                <w:tab w:val="center" w:pos="4201"/>
                <w:tab w:val="right" w:leader="dot" w:pos="9298"/>
              </w:tabs>
              <w:autoSpaceDE w:val="0"/>
              <w:autoSpaceDN w:val="0"/>
              <w:spacing w:line="240" w:lineRule="auto"/>
              <w:ind w:firstLine="0" w:firstLineChars="0"/>
              <w:jc w:val="center"/>
              <w:rPr>
                <w:sz w:val="21"/>
                <w:szCs w:val="21"/>
                <w:lang w:eastAsia="zh-CN"/>
              </w:rPr>
            </w:pPr>
            <w:r>
              <w:rPr>
                <w:sz w:val="21"/>
                <w:szCs w:val="21"/>
              </w:rPr>
              <w:t>不饱和聚酯</w:t>
            </w:r>
          </w:p>
        </w:tc>
        <w:tc>
          <w:tcPr>
            <w:tcW w:w="1743" w:type="dxa"/>
            <w:vAlign w:val="center"/>
          </w:tcPr>
          <w:p w14:paraId="76ED0949">
            <w:pPr>
              <w:widowControl/>
              <w:tabs>
                <w:tab w:val="center" w:pos="4201"/>
                <w:tab w:val="right" w:leader="dot" w:pos="9298"/>
              </w:tabs>
              <w:autoSpaceDE w:val="0"/>
              <w:autoSpaceDN w:val="0"/>
              <w:spacing w:line="240" w:lineRule="auto"/>
              <w:ind w:firstLine="0" w:firstLineChars="0"/>
              <w:jc w:val="center"/>
              <w:rPr>
                <w:sz w:val="21"/>
                <w:szCs w:val="21"/>
              </w:rPr>
            </w:pPr>
            <w:r>
              <w:rPr>
                <w:rFonts w:hint="eastAsia"/>
                <w:sz w:val="21"/>
                <w:szCs w:val="21"/>
                <w:lang w:eastAsia="zh-CN"/>
              </w:rPr>
              <w:t>UR</w:t>
            </w:r>
          </w:p>
        </w:tc>
      </w:tr>
      <w:tr w14:paraId="77E663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15D75BFE">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2</w:t>
            </w:r>
            <w:r>
              <w:rPr>
                <w:sz w:val="21"/>
                <w:szCs w:val="21"/>
                <w:lang w:eastAsia="zh-CN"/>
              </w:rPr>
              <w:t>#</w:t>
            </w:r>
          </w:p>
        </w:tc>
        <w:tc>
          <w:tcPr>
            <w:tcW w:w="2257" w:type="dxa"/>
            <w:shd w:val="clear" w:color="auto" w:fill="auto"/>
            <w:vAlign w:val="center"/>
          </w:tcPr>
          <w:p w14:paraId="01F0E5A3">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树脂型人造石</w:t>
            </w:r>
          </w:p>
        </w:tc>
        <w:tc>
          <w:tcPr>
            <w:tcW w:w="2771" w:type="dxa"/>
            <w:vAlign w:val="center"/>
          </w:tcPr>
          <w:p w14:paraId="11A640D6">
            <w:pPr>
              <w:widowControl/>
              <w:tabs>
                <w:tab w:val="center" w:pos="4201"/>
                <w:tab w:val="right" w:leader="dot" w:pos="9298"/>
              </w:tabs>
              <w:autoSpaceDE w:val="0"/>
              <w:autoSpaceDN w:val="0"/>
              <w:spacing w:line="240" w:lineRule="auto"/>
              <w:ind w:firstLine="0" w:firstLineChars="0"/>
              <w:jc w:val="center"/>
              <w:rPr>
                <w:sz w:val="21"/>
                <w:szCs w:val="21"/>
                <w:lang w:eastAsia="zh-CN"/>
              </w:rPr>
            </w:pPr>
            <w:r>
              <w:rPr>
                <w:sz w:val="21"/>
                <w:szCs w:val="21"/>
              </w:rPr>
              <w:t>聚甲基丙烯酸甲酯</w:t>
            </w:r>
          </w:p>
        </w:tc>
        <w:tc>
          <w:tcPr>
            <w:tcW w:w="1743" w:type="dxa"/>
            <w:vAlign w:val="center"/>
          </w:tcPr>
          <w:p w14:paraId="32120213">
            <w:pPr>
              <w:widowControl/>
              <w:tabs>
                <w:tab w:val="center" w:pos="4201"/>
                <w:tab w:val="right" w:leader="dot" w:pos="9298"/>
              </w:tabs>
              <w:autoSpaceDE w:val="0"/>
              <w:autoSpaceDN w:val="0"/>
              <w:spacing w:line="240" w:lineRule="auto"/>
              <w:ind w:firstLine="0" w:firstLineChars="0"/>
              <w:jc w:val="center"/>
              <w:rPr>
                <w:sz w:val="21"/>
                <w:szCs w:val="21"/>
              </w:rPr>
            </w:pPr>
            <w:r>
              <w:rPr>
                <w:rFonts w:hint="eastAsia"/>
                <w:sz w:val="21"/>
                <w:szCs w:val="21"/>
                <w:lang w:eastAsia="zh-CN"/>
              </w:rPr>
              <w:t>PMMA</w:t>
            </w:r>
          </w:p>
        </w:tc>
      </w:tr>
      <w:tr w14:paraId="31BE60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5C8216BB">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3</w:t>
            </w:r>
            <w:r>
              <w:rPr>
                <w:sz w:val="21"/>
                <w:szCs w:val="21"/>
                <w:lang w:eastAsia="zh-CN"/>
              </w:rPr>
              <w:t>#</w:t>
            </w:r>
          </w:p>
        </w:tc>
        <w:tc>
          <w:tcPr>
            <w:tcW w:w="2257" w:type="dxa"/>
            <w:shd w:val="clear" w:color="auto" w:fill="auto"/>
            <w:vAlign w:val="center"/>
          </w:tcPr>
          <w:p w14:paraId="05AEE9C4">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结构胶粘剂</w:t>
            </w:r>
          </w:p>
        </w:tc>
        <w:tc>
          <w:tcPr>
            <w:tcW w:w="2771" w:type="dxa"/>
            <w:vAlign w:val="center"/>
          </w:tcPr>
          <w:p w14:paraId="224AB1E9">
            <w:pPr>
              <w:widowControl/>
              <w:tabs>
                <w:tab w:val="center" w:pos="4201"/>
                <w:tab w:val="right" w:leader="dot" w:pos="9298"/>
              </w:tabs>
              <w:autoSpaceDE w:val="0"/>
              <w:autoSpaceDN w:val="0"/>
              <w:spacing w:line="240" w:lineRule="auto"/>
              <w:ind w:firstLine="0" w:firstLineChars="0"/>
              <w:jc w:val="center"/>
              <w:rPr>
                <w:sz w:val="21"/>
                <w:szCs w:val="21"/>
                <w:lang w:eastAsia="zh-CN"/>
              </w:rPr>
            </w:pPr>
            <w:r>
              <w:rPr>
                <w:sz w:val="21"/>
                <w:szCs w:val="21"/>
              </w:rPr>
              <w:t>环氧树脂</w:t>
            </w:r>
          </w:p>
        </w:tc>
        <w:tc>
          <w:tcPr>
            <w:tcW w:w="1743" w:type="dxa"/>
            <w:vAlign w:val="center"/>
          </w:tcPr>
          <w:p w14:paraId="269809D8">
            <w:pPr>
              <w:widowControl/>
              <w:tabs>
                <w:tab w:val="center" w:pos="4201"/>
                <w:tab w:val="right" w:leader="dot" w:pos="9298"/>
              </w:tabs>
              <w:autoSpaceDE w:val="0"/>
              <w:autoSpaceDN w:val="0"/>
              <w:spacing w:line="240" w:lineRule="auto"/>
              <w:ind w:firstLine="0" w:firstLineChars="0"/>
              <w:jc w:val="center"/>
              <w:rPr>
                <w:sz w:val="21"/>
                <w:szCs w:val="21"/>
              </w:rPr>
            </w:pPr>
            <w:r>
              <w:rPr>
                <w:rFonts w:hint="eastAsia"/>
                <w:sz w:val="21"/>
                <w:szCs w:val="21"/>
                <w:lang w:eastAsia="zh-CN"/>
              </w:rPr>
              <w:t>EP</w:t>
            </w:r>
          </w:p>
        </w:tc>
      </w:tr>
      <w:tr w14:paraId="3695C1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6F98A262">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4</w:t>
            </w:r>
            <w:r>
              <w:rPr>
                <w:sz w:val="21"/>
                <w:szCs w:val="21"/>
                <w:lang w:eastAsia="zh-CN"/>
              </w:rPr>
              <w:t>#</w:t>
            </w:r>
          </w:p>
        </w:tc>
        <w:tc>
          <w:tcPr>
            <w:tcW w:w="2257" w:type="dxa"/>
            <w:shd w:val="clear" w:color="auto" w:fill="auto"/>
            <w:vAlign w:val="center"/>
          </w:tcPr>
          <w:p w14:paraId="4D9A7E57">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PVC排水管</w:t>
            </w:r>
          </w:p>
        </w:tc>
        <w:tc>
          <w:tcPr>
            <w:tcW w:w="2771" w:type="dxa"/>
            <w:vAlign w:val="center"/>
          </w:tcPr>
          <w:p w14:paraId="3AEDA972">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聚乙烯</w:t>
            </w:r>
          </w:p>
        </w:tc>
        <w:tc>
          <w:tcPr>
            <w:tcW w:w="1743" w:type="dxa"/>
            <w:vAlign w:val="center"/>
          </w:tcPr>
          <w:p w14:paraId="4A8A4C16">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HDPE</w:t>
            </w:r>
          </w:p>
        </w:tc>
      </w:tr>
      <w:tr w14:paraId="01BF01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2A289AD4">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5</w:t>
            </w:r>
            <w:r>
              <w:rPr>
                <w:sz w:val="21"/>
                <w:szCs w:val="21"/>
                <w:lang w:eastAsia="zh-CN"/>
              </w:rPr>
              <w:t>#</w:t>
            </w:r>
          </w:p>
        </w:tc>
        <w:tc>
          <w:tcPr>
            <w:tcW w:w="2257" w:type="dxa"/>
            <w:shd w:val="clear" w:color="auto" w:fill="auto"/>
            <w:vAlign w:val="center"/>
          </w:tcPr>
          <w:p w14:paraId="72C882C4">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PP-R管</w:t>
            </w:r>
          </w:p>
        </w:tc>
        <w:tc>
          <w:tcPr>
            <w:tcW w:w="2771" w:type="dxa"/>
            <w:vAlign w:val="center"/>
          </w:tcPr>
          <w:p w14:paraId="114D8B8C">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聚丙烯</w:t>
            </w:r>
          </w:p>
        </w:tc>
        <w:tc>
          <w:tcPr>
            <w:tcW w:w="1743" w:type="dxa"/>
            <w:vAlign w:val="center"/>
          </w:tcPr>
          <w:p w14:paraId="66EF3487">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PP</w:t>
            </w:r>
          </w:p>
        </w:tc>
      </w:tr>
      <w:tr w14:paraId="09EB60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17A958E7">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6</w:t>
            </w:r>
            <w:r>
              <w:rPr>
                <w:sz w:val="21"/>
                <w:szCs w:val="21"/>
                <w:lang w:eastAsia="zh-CN"/>
              </w:rPr>
              <w:t>#</w:t>
            </w:r>
          </w:p>
        </w:tc>
        <w:tc>
          <w:tcPr>
            <w:tcW w:w="2257" w:type="dxa"/>
            <w:shd w:val="clear" w:color="auto" w:fill="auto"/>
            <w:vAlign w:val="center"/>
          </w:tcPr>
          <w:p w14:paraId="56C461BF">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PVC排水管</w:t>
            </w:r>
          </w:p>
        </w:tc>
        <w:tc>
          <w:tcPr>
            <w:tcW w:w="2771" w:type="dxa"/>
            <w:vAlign w:val="center"/>
          </w:tcPr>
          <w:p w14:paraId="46E6C656">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聚氯乙烯</w:t>
            </w:r>
          </w:p>
        </w:tc>
        <w:tc>
          <w:tcPr>
            <w:tcW w:w="1743" w:type="dxa"/>
            <w:vAlign w:val="center"/>
          </w:tcPr>
          <w:p w14:paraId="1E53A4F1">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PVC</w:t>
            </w:r>
          </w:p>
        </w:tc>
      </w:tr>
      <w:tr w14:paraId="4E4340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25F17654">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7</w:t>
            </w:r>
            <w:r>
              <w:rPr>
                <w:sz w:val="21"/>
                <w:szCs w:val="21"/>
                <w:lang w:eastAsia="zh-CN"/>
              </w:rPr>
              <w:t>#</w:t>
            </w:r>
          </w:p>
        </w:tc>
        <w:tc>
          <w:tcPr>
            <w:tcW w:w="2257" w:type="dxa"/>
            <w:shd w:val="clear" w:color="auto" w:fill="auto"/>
            <w:vAlign w:val="center"/>
          </w:tcPr>
          <w:p w14:paraId="3B554A62">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PC耐力板</w:t>
            </w:r>
          </w:p>
        </w:tc>
        <w:tc>
          <w:tcPr>
            <w:tcW w:w="2771" w:type="dxa"/>
            <w:vAlign w:val="center"/>
          </w:tcPr>
          <w:p w14:paraId="52137195">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聚碳酸酯</w:t>
            </w:r>
          </w:p>
        </w:tc>
        <w:tc>
          <w:tcPr>
            <w:tcW w:w="1743" w:type="dxa"/>
            <w:vAlign w:val="center"/>
          </w:tcPr>
          <w:p w14:paraId="4EF9551E">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PC</w:t>
            </w:r>
          </w:p>
        </w:tc>
      </w:tr>
      <w:tr w14:paraId="703540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05134D70">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8</w:t>
            </w:r>
            <w:r>
              <w:rPr>
                <w:sz w:val="21"/>
                <w:szCs w:val="21"/>
                <w:lang w:eastAsia="zh-CN"/>
              </w:rPr>
              <w:t>#</w:t>
            </w:r>
          </w:p>
        </w:tc>
        <w:tc>
          <w:tcPr>
            <w:tcW w:w="2257" w:type="dxa"/>
            <w:shd w:val="clear" w:color="auto" w:fill="auto"/>
            <w:vAlign w:val="center"/>
          </w:tcPr>
          <w:p w14:paraId="508E7935">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PET薄膜</w:t>
            </w:r>
          </w:p>
        </w:tc>
        <w:tc>
          <w:tcPr>
            <w:tcW w:w="2771" w:type="dxa"/>
            <w:vAlign w:val="center"/>
          </w:tcPr>
          <w:p w14:paraId="04CCD6F3">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聚对苯二甲酸二乙酯</w:t>
            </w:r>
          </w:p>
        </w:tc>
        <w:tc>
          <w:tcPr>
            <w:tcW w:w="1743" w:type="dxa"/>
            <w:vAlign w:val="center"/>
          </w:tcPr>
          <w:p w14:paraId="415EE2F2">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PET</w:t>
            </w:r>
          </w:p>
        </w:tc>
      </w:tr>
      <w:tr w14:paraId="42FCAD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45F349EA">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9</w:t>
            </w:r>
            <w:r>
              <w:rPr>
                <w:sz w:val="21"/>
                <w:szCs w:val="21"/>
                <w:lang w:eastAsia="zh-CN"/>
              </w:rPr>
              <w:t>#</w:t>
            </w:r>
          </w:p>
        </w:tc>
        <w:tc>
          <w:tcPr>
            <w:tcW w:w="2257" w:type="dxa"/>
            <w:shd w:val="clear" w:color="auto" w:fill="auto"/>
            <w:vAlign w:val="center"/>
          </w:tcPr>
          <w:p w14:paraId="216761EA">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尼龙扎带</w:t>
            </w:r>
          </w:p>
        </w:tc>
        <w:tc>
          <w:tcPr>
            <w:tcW w:w="2771" w:type="dxa"/>
            <w:vAlign w:val="center"/>
          </w:tcPr>
          <w:p w14:paraId="16240190">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聚酰胺</w:t>
            </w:r>
          </w:p>
        </w:tc>
        <w:tc>
          <w:tcPr>
            <w:tcW w:w="1743" w:type="dxa"/>
            <w:vAlign w:val="center"/>
          </w:tcPr>
          <w:p w14:paraId="7E5CA396">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PA66</w:t>
            </w:r>
          </w:p>
        </w:tc>
      </w:tr>
      <w:tr w14:paraId="1637C0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728A735F">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1</w:t>
            </w:r>
            <w:r>
              <w:rPr>
                <w:sz w:val="21"/>
                <w:szCs w:val="21"/>
                <w:lang w:eastAsia="zh-CN"/>
              </w:rPr>
              <w:t>0#</w:t>
            </w:r>
          </w:p>
        </w:tc>
        <w:tc>
          <w:tcPr>
            <w:tcW w:w="2257" w:type="dxa"/>
            <w:shd w:val="clear" w:color="auto" w:fill="auto"/>
            <w:vAlign w:val="center"/>
          </w:tcPr>
          <w:p w14:paraId="4479000B">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PS装饰线条</w:t>
            </w:r>
          </w:p>
        </w:tc>
        <w:tc>
          <w:tcPr>
            <w:tcW w:w="2771" w:type="dxa"/>
            <w:vAlign w:val="center"/>
          </w:tcPr>
          <w:p w14:paraId="71037BA3">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聚苯乙烯</w:t>
            </w:r>
          </w:p>
        </w:tc>
        <w:tc>
          <w:tcPr>
            <w:tcW w:w="1743" w:type="dxa"/>
            <w:vAlign w:val="center"/>
          </w:tcPr>
          <w:p w14:paraId="2DAB0DA8">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PS</w:t>
            </w:r>
          </w:p>
        </w:tc>
      </w:tr>
      <w:tr w14:paraId="7851CF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73D41F2A">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1</w:t>
            </w:r>
            <w:r>
              <w:rPr>
                <w:sz w:val="21"/>
                <w:szCs w:val="21"/>
                <w:lang w:eastAsia="zh-CN"/>
              </w:rPr>
              <w:t>1#</w:t>
            </w:r>
          </w:p>
        </w:tc>
        <w:tc>
          <w:tcPr>
            <w:tcW w:w="2257" w:type="dxa"/>
            <w:shd w:val="clear" w:color="auto" w:fill="auto"/>
            <w:vAlign w:val="center"/>
          </w:tcPr>
          <w:p w14:paraId="2BBC7D87">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ABS排水管件</w:t>
            </w:r>
          </w:p>
        </w:tc>
        <w:tc>
          <w:tcPr>
            <w:tcW w:w="2771" w:type="dxa"/>
            <w:vAlign w:val="center"/>
          </w:tcPr>
          <w:p w14:paraId="792873D7">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丙烯腈-丁二烯-苯乙烯共聚物</w:t>
            </w:r>
          </w:p>
        </w:tc>
        <w:tc>
          <w:tcPr>
            <w:tcW w:w="1743" w:type="dxa"/>
            <w:vAlign w:val="center"/>
          </w:tcPr>
          <w:p w14:paraId="1FF0EA1B">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ABS</w:t>
            </w:r>
          </w:p>
        </w:tc>
      </w:tr>
      <w:tr w14:paraId="16C5C5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149" w:type="dxa"/>
            <w:vAlign w:val="center"/>
          </w:tcPr>
          <w:p w14:paraId="75A445D7">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1</w:t>
            </w:r>
            <w:r>
              <w:rPr>
                <w:sz w:val="21"/>
                <w:szCs w:val="21"/>
                <w:lang w:eastAsia="zh-CN"/>
              </w:rPr>
              <w:t>2#</w:t>
            </w:r>
          </w:p>
        </w:tc>
        <w:tc>
          <w:tcPr>
            <w:tcW w:w="2257" w:type="dxa"/>
            <w:shd w:val="clear" w:color="auto" w:fill="auto"/>
            <w:vAlign w:val="center"/>
          </w:tcPr>
          <w:p w14:paraId="3A1846E9">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EVA板材</w:t>
            </w:r>
          </w:p>
        </w:tc>
        <w:tc>
          <w:tcPr>
            <w:tcW w:w="2771" w:type="dxa"/>
            <w:vAlign w:val="center"/>
          </w:tcPr>
          <w:p w14:paraId="50653195">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乙烯-乙酸乙烯酯共聚物</w:t>
            </w:r>
          </w:p>
        </w:tc>
        <w:tc>
          <w:tcPr>
            <w:tcW w:w="1743" w:type="dxa"/>
            <w:vAlign w:val="center"/>
          </w:tcPr>
          <w:p w14:paraId="552C1245">
            <w:pPr>
              <w:widowControl/>
              <w:tabs>
                <w:tab w:val="center" w:pos="4201"/>
                <w:tab w:val="right" w:leader="dot" w:pos="9298"/>
              </w:tabs>
              <w:autoSpaceDE w:val="0"/>
              <w:autoSpaceDN w:val="0"/>
              <w:spacing w:line="240" w:lineRule="auto"/>
              <w:ind w:firstLine="0" w:firstLineChars="0"/>
              <w:jc w:val="center"/>
              <w:rPr>
                <w:sz w:val="21"/>
                <w:szCs w:val="21"/>
                <w:lang w:eastAsia="zh-CN"/>
              </w:rPr>
            </w:pPr>
            <w:r>
              <w:rPr>
                <w:rFonts w:hint="eastAsia"/>
                <w:sz w:val="21"/>
                <w:szCs w:val="21"/>
                <w:lang w:eastAsia="zh-CN"/>
              </w:rPr>
              <w:t>EVA</w:t>
            </w:r>
          </w:p>
        </w:tc>
      </w:tr>
    </w:tbl>
    <w:p w14:paraId="544583DB">
      <w:pPr>
        <w:overflowPunct w:val="0"/>
        <w:topLinePunct/>
        <w:spacing w:before="120" w:beforeLines="50" w:after="120" w:afterLines="50"/>
        <w:ind w:firstLine="0" w:firstLineChars="0"/>
        <w:outlineLvl w:val="1"/>
        <w:rPr>
          <w:lang w:eastAsia="zh-CN"/>
        </w:rPr>
      </w:pPr>
      <w:bookmarkStart w:id="48" w:name="_Toc211857931"/>
      <w:bookmarkStart w:id="49" w:name="OLE_LINK175"/>
      <w:bookmarkStart w:id="50" w:name="OLE_LINK174"/>
      <w:r>
        <w:rPr>
          <w:rFonts w:hint="eastAsia"/>
          <w:lang w:eastAsia="zh-CN"/>
        </w:rPr>
        <w:t>1</w:t>
      </w:r>
      <w:r>
        <w:rPr>
          <w:lang w:eastAsia="zh-CN"/>
        </w:rPr>
        <w:t xml:space="preserve"> </w:t>
      </w:r>
      <w:r>
        <w:rPr>
          <w:rFonts w:hint="eastAsia"/>
          <w:lang w:eastAsia="zh-CN"/>
        </w:rPr>
        <w:t>试样不同前处理</w:t>
      </w:r>
    </w:p>
    <w:p w14:paraId="3295B079">
      <w:pPr>
        <w:overflowPunct w:val="0"/>
        <w:topLinePunct/>
        <w:ind w:firstLineChars="0"/>
        <w:rPr>
          <w:lang w:eastAsia="zh-CN"/>
        </w:rPr>
      </w:pPr>
      <w:r>
        <w:rPr>
          <w:rFonts w:hint="eastAsia"/>
          <w:lang w:eastAsia="zh-CN"/>
        </w:rPr>
        <w:t>（1）机械分离</w:t>
      </w:r>
    </w:p>
    <w:p w14:paraId="2B1AA600">
      <w:pPr>
        <w:pStyle w:val="28"/>
        <w:overflowPunct w:val="0"/>
        <w:topLinePunct/>
        <w:ind w:firstLine="480"/>
        <w:rPr>
          <w:lang w:eastAsia="zh-CN"/>
        </w:rPr>
      </w:pPr>
      <w:r>
        <w:rPr>
          <w:rFonts w:hint="eastAsia"/>
          <w:lang w:eastAsia="zh-CN"/>
        </w:rPr>
        <w:t>对A</w:t>
      </w:r>
      <w:r>
        <w:rPr>
          <w:lang w:eastAsia="zh-CN"/>
        </w:rPr>
        <w:t>BS</w:t>
      </w:r>
      <w:r>
        <w:rPr>
          <w:rFonts w:hint="eastAsia"/>
          <w:lang w:eastAsia="zh-CN"/>
        </w:rPr>
        <w:t>塑料进行定性分析时，采用原样以及将原样进行热压成薄膜的方式制样，将制备好的样品分别进行透射法和A</w:t>
      </w:r>
      <w:r>
        <w:rPr>
          <w:lang w:eastAsia="zh-CN"/>
        </w:rPr>
        <w:t>TR</w:t>
      </w:r>
      <w:r>
        <w:rPr>
          <w:rFonts w:hint="eastAsia"/>
          <w:lang w:eastAsia="zh-CN"/>
        </w:rPr>
        <w:t>法测试。所得到的红外光谱图如下所示：</w:t>
      </w:r>
    </w:p>
    <w:p w14:paraId="7F387FC9">
      <w:pPr>
        <w:overflowPunct w:val="0"/>
        <w:topLinePunct/>
        <w:ind w:firstLine="199" w:firstLineChars="83"/>
        <w:jc w:val="both"/>
        <w:rPr>
          <w:lang w:eastAsia="zh-CN"/>
        </w:rPr>
      </w:pPr>
      <w:r>
        <w:rPr>
          <w:lang w:eastAsia="zh-CN"/>
        </w:rPr>
        <w:drawing>
          <wp:inline distT="0" distB="0" distL="0" distR="0">
            <wp:extent cx="6191250" cy="2940685"/>
            <wp:effectExtent l="0" t="0" r="0" b="0"/>
            <wp:docPr id="5" name="图片 5" descr="F:\标准\修改\ABS例子.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标准\修改\ABS例子.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91250" cy="2940844"/>
                    </a:xfrm>
                    <a:prstGeom prst="rect">
                      <a:avLst/>
                    </a:prstGeom>
                    <a:noFill/>
                    <a:ln>
                      <a:noFill/>
                    </a:ln>
                  </pic:spPr>
                </pic:pic>
              </a:graphicData>
            </a:graphic>
          </wp:inline>
        </w:drawing>
      </w:r>
    </w:p>
    <w:p w14:paraId="47583C71">
      <w:pPr>
        <w:overflowPunct w:val="0"/>
        <w:topLinePunct/>
        <w:ind w:firstLine="199" w:firstLineChars="83"/>
        <w:jc w:val="center"/>
        <w:rPr>
          <w:lang w:eastAsia="zh-CN"/>
        </w:rPr>
      </w:pPr>
      <w:r>
        <w:rPr>
          <w:rFonts w:hint="eastAsia"/>
          <w:lang w:eastAsia="zh-CN"/>
        </w:rPr>
        <w:t>图</w:t>
      </w:r>
      <w:r>
        <w:rPr>
          <w:lang w:eastAsia="zh-CN"/>
        </w:rPr>
        <w:t>1 ABS</w:t>
      </w:r>
      <w:r>
        <w:rPr>
          <w:rFonts w:hint="eastAsia"/>
          <w:lang w:eastAsia="zh-CN"/>
        </w:rPr>
        <w:t>塑料红外光谱图与标准谱库中A</w:t>
      </w:r>
      <w:r>
        <w:rPr>
          <w:lang w:eastAsia="zh-CN"/>
        </w:rPr>
        <w:t>BS</w:t>
      </w:r>
      <w:r>
        <w:rPr>
          <w:rFonts w:hint="eastAsia"/>
          <w:lang w:eastAsia="zh-CN"/>
        </w:rPr>
        <w:t>的对比图</w:t>
      </w:r>
    </w:p>
    <w:p w14:paraId="17B8AF4C">
      <w:pPr>
        <w:overflowPunct w:val="0"/>
        <w:topLinePunct/>
        <w:ind w:firstLine="679" w:firstLineChars="283"/>
        <w:jc w:val="both"/>
        <w:rPr>
          <w:lang w:eastAsia="zh-CN"/>
        </w:rPr>
      </w:pPr>
      <w:r>
        <w:rPr>
          <w:rFonts w:hint="eastAsia"/>
          <w:lang w:eastAsia="zh-CN"/>
        </w:rPr>
        <w:t>结果显示，当时用原样和热压成薄膜分别进行A</w:t>
      </w:r>
      <w:r>
        <w:rPr>
          <w:lang w:eastAsia="zh-CN"/>
        </w:rPr>
        <w:t>TR</w:t>
      </w:r>
      <w:r>
        <w:rPr>
          <w:rFonts w:hint="eastAsia"/>
          <w:lang w:eastAsia="zh-CN"/>
        </w:rPr>
        <w:t>法测试时，样品红外光谱图（A</w:t>
      </w:r>
      <w:r>
        <w:rPr>
          <w:lang w:eastAsia="zh-CN"/>
        </w:rPr>
        <w:t>BS-ATR-</w:t>
      </w:r>
      <w:r>
        <w:rPr>
          <w:rFonts w:hint="eastAsia"/>
          <w:lang w:eastAsia="zh-CN"/>
        </w:rPr>
        <w:t>原样、A</w:t>
      </w:r>
      <w:r>
        <w:rPr>
          <w:lang w:eastAsia="zh-CN"/>
        </w:rPr>
        <w:t>BS-ATR-</w:t>
      </w:r>
      <w:r>
        <w:rPr>
          <w:rFonts w:hint="eastAsia"/>
          <w:lang w:eastAsia="zh-CN"/>
        </w:rPr>
        <w:t>热压成膜）与标准红外谱库中A</w:t>
      </w:r>
      <w:r>
        <w:rPr>
          <w:lang w:eastAsia="zh-CN"/>
        </w:rPr>
        <w:t>BS</w:t>
      </w:r>
      <w:r>
        <w:rPr>
          <w:rFonts w:hint="eastAsia"/>
          <w:lang w:eastAsia="zh-CN"/>
        </w:rPr>
        <w:t>的匹配度较低，特征峰不明显；当使用热压成薄膜的样品进行透射法测试时，得到的红外谱图（A</w:t>
      </w:r>
      <w:r>
        <w:rPr>
          <w:lang w:eastAsia="zh-CN"/>
        </w:rPr>
        <w:t>BS-</w:t>
      </w:r>
      <w:r>
        <w:rPr>
          <w:rFonts w:hint="eastAsia"/>
          <w:lang w:eastAsia="zh-CN"/>
        </w:rPr>
        <w:t>透射法</w:t>
      </w:r>
      <w:r>
        <w:rPr>
          <w:lang w:eastAsia="zh-CN"/>
        </w:rPr>
        <w:t>-</w:t>
      </w:r>
      <w:r>
        <w:rPr>
          <w:rFonts w:hint="eastAsia"/>
          <w:lang w:eastAsia="zh-CN"/>
        </w:rPr>
        <w:t>热压成膜）与标准红外谱库中A</w:t>
      </w:r>
      <w:r>
        <w:rPr>
          <w:lang w:eastAsia="zh-CN"/>
        </w:rPr>
        <w:t>BS</w:t>
      </w:r>
      <w:r>
        <w:rPr>
          <w:rFonts w:hint="eastAsia"/>
          <w:lang w:eastAsia="zh-CN"/>
        </w:rPr>
        <w:t>的出峰位置相符，能很容易鉴定该塑料的成分。</w:t>
      </w:r>
    </w:p>
    <w:p w14:paraId="61DB4177">
      <w:pPr>
        <w:overflowPunct w:val="0"/>
        <w:topLinePunct/>
        <w:ind w:firstLine="0" w:firstLineChars="0"/>
        <w:rPr>
          <w:lang w:eastAsia="zh-CN"/>
        </w:rPr>
      </w:pPr>
      <w:r>
        <w:rPr>
          <w:rFonts w:hint="eastAsia"/>
          <w:lang w:eastAsia="zh-CN"/>
        </w:rPr>
        <w:t>（2）溶解分离</w:t>
      </w:r>
    </w:p>
    <w:p w14:paraId="66FF3125">
      <w:pPr>
        <w:overflowPunct w:val="0"/>
        <w:topLinePunct/>
        <w:ind w:firstLine="480"/>
        <w:rPr>
          <w:lang w:eastAsia="zh-CN"/>
        </w:rPr>
      </w:pPr>
      <w:r>
        <w:rPr>
          <w:rFonts w:hint="eastAsia"/>
          <w:lang w:eastAsia="zh-CN"/>
        </w:rPr>
        <w:t>P</w:t>
      </w:r>
      <w:r>
        <w:rPr>
          <w:lang w:eastAsia="zh-CN"/>
        </w:rPr>
        <w:t>VC</w:t>
      </w:r>
      <w:r>
        <w:rPr>
          <w:rFonts w:hint="eastAsia"/>
          <w:lang w:eastAsia="zh-CN"/>
        </w:rPr>
        <w:t>地板中含有邻苯类增塑剂、无机填料、颜料等，直接进行红外光谱法测试，增塑剂、无机填料和颜料等会干扰树脂成分的鉴定，这时需要将试样用四氢呋喃溶剂进行溶解，离心除去下层沉淀（无机填料、颜料），上清液中此时含有增塑剂及P</w:t>
      </w:r>
      <w:r>
        <w:rPr>
          <w:lang w:eastAsia="zh-CN"/>
        </w:rPr>
        <w:t>VC</w:t>
      </w:r>
      <w:r>
        <w:rPr>
          <w:rFonts w:hint="eastAsia"/>
          <w:lang w:eastAsia="zh-CN"/>
        </w:rPr>
        <w:t>树脂成分，加入适量的沉淀剂，如甲醇，搅拌，析出物主要成分为P</w:t>
      </w:r>
      <w:r>
        <w:rPr>
          <w:lang w:eastAsia="zh-CN"/>
        </w:rPr>
        <w:t>VC</w:t>
      </w:r>
      <w:r>
        <w:rPr>
          <w:rFonts w:hint="eastAsia"/>
          <w:lang w:eastAsia="zh-CN"/>
        </w:rPr>
        <w:t>树脂，挥干，利用红外光谱法中的A</w:t>
      </w:r>
      <w:r>
        <w:rPr>
          <w:lang w:eastAsia="zh-CN"/>
        </w:rPr>
        <w:t>TR</w:t>
      </w:r>
      <w:r>
        <w:rPr>
          <w:rFonts w:hint="eastAsia"/>
          <w:lang w:eastAsia="zh-CN"/>
        </w:rPr>
        <w:t>附件进行树脂的定性鉴别。样品直接利用红外光谱法进行测试结果和样品经溶解分离前处理后进行红外光谱测试结果图</w:t>
      </w:r>
      <w:r>
        <w:rPr>
          <w:lang w:eastAsia="zh-CN"/>
        </w:rPr>
        <w:t>3</w:t>
      </w:r>
      <w:r>
        <w:rPr>
          <w:rFonts w:hint="eastAsia"/>
          <w:lang w:eastAsia="zh-CN"/>
        </w:rPr>
        <w:t>所示。</w:t>
      </w:r>
    </w:p>
    <w:p w14:paraId="670D4C47">
      <w:pPr>
        <w:overflowPunct w:val="0"/>
        <w:topLinePunct/>
        <w:ind w:firstLine="480"/>
        <w:rPr>
          <w:lang w:eastAsia="zh-CN"/>
        </w:rPr>
      </w:pPr>
      <w:r>
        <w:rPr>
          <w:lang w:eastAsia="zh-CN"/>
        </w:rPr>
        <w:drawing>
          <wp:inline distT="0" distB="0" distL="0" distR="0">
            <wp:extent cx="5306060" cy="2519680"/>
            <wp:effectExtent l="0" t="0" r="8890" b="0"/>
            <wp:docPr id="69" name="图片 69" descr="F:\标准\例子PV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F:\标准\例子PVC.T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0CB122AD">
      <w:pPr>
        <w:pStyle w:val="37"/>
        <w:spacing w:before="24" w:after="24"/>
        <w:ind w:firstLine="480"/>
        <w:jc w:val="center"/>
        <w:rPr>
          <w:rFonts w:ascii="Times New Roman" w:hAnsi="Times New Roman" w:cs="Times New Roman"/>
          <w:lang w:eastAsia="zh-CN"/>
        </w:rPr>
      </w:pPr>
      <w:r>
        <w:rPr>
          <w:rFonts w:ascii="Times New Roman" w:hAnsi="Times New Roman" w:cs="Times New Roman"/>
          <w:lang w:eastAsia="zh-CN"/>
        </w:rPr>
        <w:t>图2 PVC地板经过前处理、不经过前处理与聚氯乙烯红外标准谱图对比图</w:t>
      </w:r>
    </w:p>
    <w:p w14:paraId="3246B879">
      <w:pPr>
        <w:pStyle w:val="37"/>
        <w:spacing w:before="24" w:after="24"/>
        <w:ind w:firstLine="480"/>
        <w:jc w:val="left"/>
        <w:rPr>
          <w:rFonts w:ascii="Times New Roman" w:hAnsi="Times New Roman" w:cs="Times New Roman"/>
          <w:lang w:eastAsia="zh-CN"/>
        </w:rPr>
      </w:pPr>
      <w:r>
        <w:rPr>
          <w:rFonts w:ascii="Times New Roman" w:hAnsi="Times New Roman" w:cs="Times New Roman"/>
          <w:lang w:eastAsia="zh-CN"/>
        </w:rPr>
        <w:t>观察图2</w:t>
      </w:r>
      <w:r>
        <w:rPr>
          <w:rFonts w:hint="eastAsia" w:ascii="Times New Roman" w:hAnsi="Times New Roman" w:cs="Times New Roman"/>
          <w:lang w:eastAsia="zh-CN"/>
        </w:rPr>
        <w:t>（样品没有经过前处理红外谱图）</w:t>
      </w:r>
      <w:r>
        <w:rPr>
          <w:rFonts w:ascii="Times New Roman" w:hAnsi="Times New Roman" w:cs="Times New Roman"/>
          <w:lang w:eastAsia="zh-CN"/>
        </w:rPr>
        <w:t>可知，当PVC地板直接使用ATR附件进行测试时，红外谱图与聚氯乙烯的红外光谱图不相符，此时主要受PVC地板中填料、助剂的影响，不能很好的对其主要树脂成分进行定性分析；当试样进行溶解分离的处理方式后，可观察图3</w:t>
      </w:r>
      <w:r>
        <w:rPr>
          <w:rFonts w:hint="eastAsia" w:ascii="Times New Roman" w:hAnsi="Times New Roman" w:cs="Times New Roman"/>
          <w:lang w:eastAsia="zh-CN"/>
        </w:rPr>
        <w:t>（样品经过溶解分离前处理后红外谱图）</w:t>
      </w:r>
      <w:r>
        <w:rPr>
          <w:rFonts w:ascii="Times New Roman" w:hAnsi="Times New Roman" w:cs="Times New Roman"/>
          <w:lang w:eastAsia="zh-CN"/>
        </w:rPr>
        <w:t>，处理后的样品红外谱图与聚氯乙烯的红外光谱图相符，特征峰一致。</w:t>
      </w:r>
    </w:p>
    <w:p w14:paraId="405E79EC">
      <w:pPr>
        <w:pStyle w:val="37"/>
        <w:spacing w:before="24" w:after="24"/>
        <w:ind w:firstLine="0" w:firstLineChars="0"/>
        <w:jc w:val="left"/>
        <w:rPr>
          <w:lang w:eastAsia="zh-CN"/>
        </w:rPr>
      </w:pPr>
      <w:r>
        <w:rPr>
          <w:rFonts w:hint="eastAsia"/>
          <w:lang w:eastAsia="zh-CN"/>
        </w:rPr>
        <w:t>（</w:t>
      </w:r>
      <w:r>
        <w:rPr>
          <w:lang w:eastAsia="zh-CN"/>
        </w:rPr>
        <w:t>3</w:t>
      </w:r>
      <w:r>
        <w:rPr>
          <w:rFonts w:hint="eastAsia"/>
          <w:lang w:eastAsia="zh-CN"/>
        </w:rPr>
        <w:t>）热解分离</w:t>
      </w:r>
    </w:p>
    <w:p w14:paraId="651982B2">
      <w:pPr>
        <w:pStyle w:val="37"/>
        <w:spacing w:before="24" w:after="24"/>
        <w:ind w:firstLine="439" w:firstLineChars="183"/>
        <w:jc w:val="left"/>
        <w:rPr>
          <w:lang w:eastAsia="zh-CN"/>
        </w:rPr>
      </w:pPr>
      <w:r>
        <w:rPr>
          <w:rFonts w:hint="eastAsia" w:ascii="Times New Roman" w:hAnsi="Times New Roman" w:cs="Times New Roman"/>
          <w:lang w:eastAsia="zh-CN"/>
        </w:rPr>
        <w:t>将P</w:t>
      </w:r>
      <w:r>
        <w:rPr>
          <w:rFonts w:ascii="Times New Roman" w:hAnsi="Times New Roman" w:cs="Times New Roman"/>
          <w:lang w:eastAsia="zh-CN"/>
        </w:rPr>
        <w:t>P</w:t>
      </w:r>
      <w:r>
        <w:rPr>
          <w:rFonts w:hint="eastAsia" w:ascii="Times New Roman" w:hAnsi="Times New Roman" w:cs="Times New Roman"/>
          <w:lang w:eastAsia="zh-CN"/>
        </w:rPr>
        <w:t>和P</w:t>
      </w:r>
      <w:r>
        <w:rPr>
          <w:rFonts w:ascii="Times New Roman" w:hAnsi="Times New Roman" w:cs="Times New Roman"/>
          <w:lang w:eastAsia="zh-CN"/>
        </w:rPr>
        <w:t>E</w:t>
      </w:r>
      <w:r>
        <w:rPr>
          <w:rFonts w:hint="eastAsia" w:ascii="Times New Roman" w:hAnsi="Times New Roman" w:cs="Times New Roman"/>
          <w:lang w:eastAsia="zh-CN"/>
        </w:rPr>
        <w:t>管材直接利用A</w:t>
      </w:r>
      <w:r>
        <w:rPr>
          <w:rFonts w:ascii="Times New Roman" w:hAnsi="Times New Roman" w:cs="Times New Roman"/>
          <w:lang w:eastAsia="zh-CN"/>
        </w:rPr>
        <w:t>TR</w:t>
      </w:r>
      <w:r>
        <w:rPr>
          <w:rFonts w:hint="eastAsia" w:ascii="Times New Roman" w:hAnsi="Times New Roman" w:cs="Times New Roman"/>
          <w:lang w:eastAsia="zh-CN"/>
        </w:rPr>
        <w:t>组件进行测试，以及利用控温热解法得到热解油，将其涂抹在溴化钾片上，再利用透射分析法进行测试。两种测试方式得到的红外光谱图与红外标准谱库中谱图进行对比，如图</w:t>
      </w:r>
      <w:r>
        <w:rPr>
          <w:rFonts w:ascii="Times New Roman" w:hAnsi="Times New Roman" w:cs="Times New Roman"/>
          <w:lang w:eastAsia="zh-CN"/>
        </w:rPr>
        <w:t>3</w:t>
      </w:r>
      <w:r>
        <w:rPr>
          <w:rFonts w:hint="eastAsia" w:ascii="Times New Roman" w:hAnsi="Times New Roman" w:cs="Times New Roman"/>
          <w:lang w:eastAsia="zh-CN"/>
        </w:rPr>
        <w:t>和图</w:t>
      </w:r>
      <w:r>
        <w:rPr>
          <w:rFonts w:ascii="Times New Roman" w:hAnsi="Times New Roman" w:cs="Times New Roman"/>
          <w:lang w:eastAsia="zh-CN"/>
        </w:rPr>
        <w:t>4</w:t>
      </w:r>
      <w:r>
        <w:rPr>
          <w:rFonts w:hint="eastAsia" w:ascii="Times New Roman" w:hAnsi="Times New Roman" w:cs="Times New Roman"/>
          <w:lang w:eastAsia="zh-CN"/>
        </w:rPr>
        <w:t>所示，发现利用不同前处理方式以及不同测试方法均能测出较好的红外光谱图，其结果均能鉴定出塑料的主成分。</w:t>
      </w:r>
    </w:p>
    <w:p w14:paraId="2E6186D2">
      <w:pPr>
        <w:pStyle w:val="37"/>
        <w:spacing w:before="24" w:after="24"/>
        <w:ind w:firstLine="199" w:firstLineChars="83"/>
        <w:jc w:val="center"/>
        <w:rPr>
          <w:lang w:eastAsia="zh-CN"/>
        </w:rPr>
      </w:pPr>
      <w:r>
        <w:rPr>
          <w:lang w:eastAsia="zh-CN"/>
        </w:rPr>
        <w:drawing>
          <wp:inline distT="0" distB="0" distL="0" distR="0">
            <wp:extent cx="5306060" cy="2519680"/>
            <wp:effectExtent l="0" t="0" r="8890" b="0"/>
            <wp:docPr id="6" name="图片 6" descr="F:\P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PP.T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72409708">
      <w:pPr>
        <w:pStyle w:val="37"/>
        <w:spacing w:before="24" w:after="24"/>
        <w:ind w:firstLine="199" w:firstLineChars="83"/>
        <w:jc w:val="center"/>
        <w:rPr>
          <w:rFonts w:ascii="Times New Roman" w:hAnsi="Times New Roman" w:cs="Times New Roman"/>
          <w:lang w:eastAsia="zh-CN"/>
        </w:rPr>
      </w:pPr>
      <w:r>
        <w:rPr>
          <w:rFonts w:ascii="Times New Roman" w:hAnsi="Times New Roman" w:cs="Times New Roman"/>
          <w:lang w:eastAsia="zh-CN"/>
        </w:rPr>
        <w:t>图3 PP管材不同前处理测试谱图与</w:t>
      </w:r>
      <w:r>
        <w:rPr>
          <w:rFonts w:hint="eastAsia" w:ascii="Times New Roman" w:hAnsi="Times New Roman" w:cs="Times New Roman"/>
          <w:lang w:eastAsia="zh-CN"/>
        </w:rPr>
        <w:t>聚丙烯</w:t>
      </w:r>
      <w:r>
        <w:rPr>
          <w:rFonts w:ascii="Times New Roman" w:hAnsi="Times New Roman" w:cs="Times New Roman"/>
          <w:lang w:eastAsia="zh-CN"/>
        </w:rPr>
        <w:t>红外标准谱图对比图</w:t>
      </w:r>
    </w:p>
    <w:p w14:paraId="6552CECD">
      <w:pPr>
        <w:pStyle w:val="37"/>
        <w:spacing w:before="24" w:after="24"/>
        <w:ind w:firstLine="199" w:firstLineChars="83"/>
        <w:jc w:val="center"/>
        <w:rPr>
          <w:lang w:eastAsia="zh-CN"/>
        </w:rPr>
      </w:pPr>
      <w:r>
        <w:rPr>
          <w:lang w:eastAsia="zh-CN"/>
        </w:rPr>
        <w:drawing>
          <wp:inline distT="0" distB="0" distL="0" distR="0">
            <wp:extent cx="5306060" cy="2519680"/>
            <wp:effectExtent l="0" t="0" r="8890" b="0"/>
            <wp:docPr id="8" name="图片 8" descr="F:\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PE.T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7C7F6A57">
      <w:pPr>
        <w:pStyle w:val="37"/>
        <w:spacing w:before="24" w:after="24"/>
        <w:ind w:firstLine="199" w:firstLineChars="83"/>
        <w:jc w:val="center"/>
        <w:rPr>
          <w:rFonts w:ascii="Times New Roman" w:hAnsi="Times New Roman" w:cs="Times New Roman"/>
          <w:lang w:eastAsia="zh-CN"/>
        </w:rPr>
      </w:pPr>
      <w:r>
        <w:rPr>
          <w:rFonts w:ascii="Times New Roman" w:hAnsi="Times New Roman" w:cs="Times New Roman"/>
          <w:lang w:eastAsia="zh-CN"/>
        </w:rPr>
        <w:t>图4 PE管材不同前处理测试谱图与</w:t>
      </w:r>
      <w:r>
        <w:rPr>
          <w:rFonts w:hint="eastAsia" w:ascii="Times New Roman" w:hAnsi="Times New Roman" w:cs="Times New Roman"/>
          <w:lang w:eastAsia="zh-CN"/>
        </w:rPr>
        <w:t>聚乙烯</w:t>
      </w:r>
      <w:r>
        <w:rPr>
          <w:rFonts w:ascii="Times New Roman" w:hAnsi="Times New Roman" w:cs="Times New Roman"/>
          <w:lang w:eastAsia="zh-CN"/>
        </w:rPr>
        <w:t>红外标准谱图对比图</w:t>
      </w:r>
    </w:p>
    <w:p w14:paraId="1A455B72">
      <w:pPr>
        <w:overflowPunct w:val="0"/>
        <w:topLinePunct/>
        <w:spacing w:before="120" w:beforeLines="50" w:after="120" w:afterLines="50"/>
        <w:ind w:firstLine="0" w:firstLineChars="0"/>
        <w:outlineLvl w:val="1"/>
        <w:rPr>
          <w:lang w:eastAsia="zh-CN"/>
        </w:rPr>
      </w:pPr>
      <w:r>
        <w:rPr>
          <w:lang w:eastAsia="zh-CN"/>
        </w:rPr>
        <w:t xml:space="preserve">2 </w:t>
      </w:r>
      <w:bookmarkStart w:id="51" w:name="OLE_LINK48"/>
      <w:bookmarkStart w:id="52" w:name="OLE_LINK49"/>
      <w:r>
        <w:rPr>
          <w:rFonts w:hint="eastAsia"/>
          <w:lang w:eastAsia="zh-CN"/>
        </w:rPr>
        <w:t>树脂定性鉴别</w:t>
      </w:r>
      <w:bookmarkEnd w:id="51"/>
      <w:bookmarkEnd w:id="52"/>
      <w:r>
        <w:rPr>
          <w:rFonts w:hint="eastAsia"/>
          <w:lang w:eastAsia="zh-CN"/>
        </w:rPr>
        <w:t>结果</w:t>
      </w:r>
      <w:bookmarkEnd w:id="48"/>
    </w:p>
    <w:p w14:paraId="1AC054F7">
      <w:pPr>
        <w:overflowPunct w:val="0"/>
        <w:topLinePunct/>
        <w:ind w:firstLine="480"/>
        <w:rPr>
          <w:lang w:eastAsia="zh-CN"/>
        </w:rPr>
      </w:pPr>
      <w:r>
        <w:rPr>
          <w:rFonts w:hint="eastAsia"/>
          <w:lang w:eastAsia="zh-CN"/>
        </w:rPr>
        <w:t>树脂定性鉴别按照本标准红外光谱法（F</w:t>
      </w:r>
      <w:r>
        <w:rPr>
          <w:lang w:eastAsia="zh-CN"/>
        </w:rPr>
        <w:t>TIR</w:t>
      </w:r>
      <w:r>
        <w:rPr>
          <w:rFonts w:hint="eastAsia"/>
          <w:lang w:eastAsia="zh-CN"/>
        </w:rPr>
        <w:t>）进行试验，编制组分别对1</w:t>
      </w:r>
      <w:r>
        <w:rPr>
          <w:lang w:eastAsia="zh-CN"/>
        </w:rPr>
        <w:t>2</w:t>
      </w:r>
      <w:r>
        <w:rPr>
          <w:rFonts w:hint="eastAsia"/>
          <w:lang w:eastAsia="zh-CN"/>
        </w:rPr>
        <w:t>种样品进行考察。</w:t>
      </w:r>
      <w:bookmarkEnd w:id="49"/>
      <w:bookmarkEnd w:id="50"/>
      <w:r>
        <w:rPr>
          <w:rFonts w:hint="eastAsia"/>
          <w:lang w:eastAsia="zh-CN"/>
        </w:rPr>
        <w:t>将样品方红外光谱图与标准红外谱图进行对比分析。详细结果如附图1～附图</w:t>
      </w:r>
      <w:r>
        <w:rPr>
          <w:lang w:eastAsia="zh-CN"/>
        </w:rPr>
        <w:t>12</w:t>
      </w:r>
      <w:r>
        <w:rPr>
          <w:rFonts w:hint="eastAsia"/>
          <w:lang w:eastAsia="zh-CN"/>
        </w:rPr>
        <w:t>所示。</w:t>
      </w:r>
    </w:p>
    <w:p w14:paraId="15F8D28B">
      <w:pPr>
        <w:overflowPunct w:val="0"/>
        <w:topLinePunct/>
        <w:ind w:firstLine="480"/>
        <w:rPr>
          <w:lang w:eastAsia="zh-CN"/>
        </w:rPr>
      </w:pPr>
      <w:r>
        <w:rPr>
          <w:rFonts w:hint="eastAsia"/>
          <w:lang w:eastAsia="zh-CN"/>
        </w:rPr>
        <w:t>结果表明，</w:t>
      </w:r>
      <w:r>
        <w:rPr>
          <w:lang w:eastAsia="zh-CN"/>
        </w:rPr>
        <w:t>12</w:t>
      </w:r>
      <w:r>
        <w:rPr>
          <w:rFonts w:hint="eastAsia"/>
          <w:lang w:eastAsia="zh-CN"/>
        </w:rPr>
        <w:t>个样品的特征吸收峰与相应树脂的标准红外谱图出峰位置相符，</w:t>
      </w:r>
      <w:bookmarkStart w:id="53" w:name="OLE_LINK176"/>
      <w:bookmarkStart w:id="54" w:name="OLE_LINK177"/>
      <w:r>
        <w:rPr>
          <w:rFonts w:hint="eastAsia"/>
          <w:lang w:eastAsia="zh-CN"/>
        </w:rPr>
        <w:t>且生产厂商提供的塑料树脂类型完全一致（附表</w:t>
      </w:r>
      <w:r>
        <w:rPr>
          <w:lang w:eastAsia="zh-CN"/>
        </w:rPr>
        <w:t>1</w:t>
      </w:r>
      <w:r>
        <w:rPr>
          <w:rFonts w:hint="eastAsia"/>
          <w:lang w:eastAsia="zh-CN"/>
        </w:rPr>
        <w:t>），证明了该方法的准确性</w:t>
      </w:r>
      <w:bookmarkEnd w:id="53"/>
      <w:bookmarkEnd w:id="54"/>
      <w:r>
        <w:rPr>
          <w:rFonts w:hint="eastAsia"/>
          <w:lang w:eastAsia="zh-CN"/>
        </w:rPr>
        <w:t>。</w:t>
      </w:r>
    </w:p>
    <w:p w14:paraId="1A8F0573">
      <w:pPr>
        <w:keepNext/>
        <w:overflowPunct w:val="0"/>
        <w:topLinePunct/>
        <w:ind w:firstLine="0" w:firstLineChars="0"/>
        <w:jc w:val="center"/>
      </w:pPr>
      <w:r>
        <w:rPr>
          <w:lang w:eastAsia="zh-CN"/>
        </w:rPr>
        <w:drawing>
          <wp:inline distT="0" distB="0" distL="0" distR="0">
            <wp:extent cx="5306060" cy="2519680"/>
            <wp:effectExtent l="0" t="0" r="8890" b="0"/>
            <wp:docPr id="64" name="图片 64" descr="F:\标准\修改\UPR样品-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F:\标准\修改\UPR样品-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655B6DAD">
      <w:pPr>
        <w:overflowPunct w:val="0"/>
        <w:topLinePunct/>
        <w:ind w:firstLine="480"/>
        <w:jc w:val="center"/>
        <w:rPr>
          <w:lang w:eastAsia="zh-CN"/>
        </w:rPr>
      </w:pPr>
      <w:r>
        <w:rPr>
          <w:rFonts w:hint="eastAsia" w:cs="Times New Roman"/>
          <w:szCs w:val="24"/>
          <w:lang w:eastAsia="zh-CN"/>
        </w:rPr>
        <w:t xml:space="preserve">附图 </w:t>
      </w:r>
      <w:r>
        <w:rPr>
          <w:rFonts w:cs="Times New Roman"/>
          <w:szCs w:val="24"/>
          <w:lang w:eastAsia="zh-CN"/>
        </w:rPr>
        <w:t>5</w:t>
      </w:r>
      <w:r>
        <w:rPr>
          <w:rFonts w:hint="eastAsia" w:cs="Times New Roman"/>
          <w:szCs w:val="24"/>
          <w:lang w:eastAsia="zh-CN"/>
        </w:rPr>
        <w:t>样品</w:t>
      </w:r>
      <w:r>
        <w:rPr>
          <w:rFonts w:cs="Times New Roman"/>
          <w:szCs w:val="24"/>
          <w:lang w:eastAsia="zh-CN"/>
        </w:rPr>
        <w:t>#</w:t>
      </w:r>
      <w:r>
        <w:rPr>
          <w:rFonts w:hint="eastAsia" w:cs="Times New Roman"/>
          <w:szCs w:val="24"/>
          <w:lang w:eastAsia="zh-CN"/>
        </w:rPr>
        <w:t>（上）与</w:t>
      </w:r>
      <w:bookmarkStart w:id="55" w:name="OLE_LINK91"/>
      <w:bookmarkStart w:id="56" w:name="OLE_LINK90"/>
      <w:r>
        <w:rPr>
          <w:rFonts w:hint="eastAsia" w:cs="Times New Roman"/>
          <w:szCs w:val="24"/>
          <w:lang w:eastAsia="zh-CN"/>
        </w:rPr>
        <w:t>不饱和聚酯</w:t>
      </w:r>
      <w:bookmarkEnd w:id="55"/>
      <w:bookmarkEnd w:id="56"/>
      <w:r>
        <w:rPr>
          <w:rFonts w:hint="eastAsia" w:cs="Times New Roman"/>
          <w:szCs w:val="24"/>
          <w:lang w:eastAsia="zh-CN"/>
        </w:rPr>
        <w:t>树脂标准谱图</w:t>
      </w:r>
      <w:bookmarkStart w:id="57" w:name="OLE_LINK74"/>
      <w:bookmarkStart w:id="58" w:name="OLE_LINK73"/>
      <w:r>
        <w:rPr>
          <w:rFonts w:hint="eastAsia" w:cs="Times New Roman"/>
          <w:szCs w:val="24"/>
          <w:lang w:eastAsia="zh-CN"/>
        </w:rPr>
        <w:t>（下）</w:t>
      </w:r>
      <w:bookmarkEnd w:id="57"/>
      <w:bookmarkEnd w:id="58"/>
      <w:r>
        <w:rPr>
          <w:rFonts w:hint="eastAsia" w:cs="Times New Roman"/>
          <w:szCs w:val="24"/>
          <w:lang w:eastAsia="zh-CN"/>
        </w:rPr>
        <w:t>对比</w:t>
      </w:r>
    </w:p>
    <w:p w14:paraId="7441299E">
      <w:pPr>
        <w:keepNext/>
        <w:overflowPunct w:val="0"/>
        <w:topLinePunct/>
        <w:spacing w:line="240" w:lineRule="auto"/>
        <w:ind w:firstLine="0" w:firstLineChars="0"/>
        <w:jc w:val="center"/>
      </w:pPr>
      <w:r>
        <w:rPr>
          <w:lang w:eastAsia="zh-CN"/>
        </w:rPr>
        <w:drawing>
          <wp:inline distT="0" distB="0" distL="0" distR="0">
            <wp:extent cx="5306060" cy="2519680"/>
            <wp:effectExtent l="0" t="0" r="8890" b="0"/>
            <wp:docPr id="65" name="图片 65" descr="F:\标准\修改\PMMA样品-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F:\标准\修改\PMMA样品-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02E675E8">
      <w:pPr>
        <w:pStyle w:val="7"/>
        <w:overflowPunct w:val="0"/>
        <w:topLinePunct/>
        <w:ind w:firstLine="480"/>
        <w:jc w:val="center"/>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 xml:space="preserve">附图 </w:t>
      </w:r>
      <w:r>
        <w:rPr>
          <w:rFonts w:ascii="Times New Roman" w:hAnsi="Times New Roman" w:eastAsia="宋体" w:cs="Times New Roman"/>
          <w:sz w:val="24"/>
          <w:szCs w:val="24"/>
          <w:lang w:eastAsia="zh-CN"/>
        </w:rPr>
        <w:t>6</w:t>
      </w:r>
      <w:r>
        <w:rPr>
          <w:rFonts w:hint="eastAsia" w:ascii="Times New Roman" w:hAnsi="Times New Roman" w:eastAsia="宋体" w:cs="Times New Roman"/>
          <w:sz w:val="24"/>
          <w:szCs w:val="24"/>
          <w:lang w:eastAsia="zh-CN"/>
        </w:rPr>
        <w:t>样品</w:t>
      </w:r>
      <w:r>
        <w:rPr>
          <w:rFonts w:ascii="Times New Roman" w:hAnsi="Times New Roman" w:eastAsia="宋体" w:cs="Times New Roman"/>
          <w:sz w:val="24"/>
          <w:szCs w:val="24"/>
          <w:lang w:eastAsia="zh-CN"/>
        </w:rPr>
        <w:t>2</w:t>
      </w:r>
      <w:r>
        <w:rPr>
          <w:rFonts w:hint="eastAsia" w:ascii="Times New Roman" w:hAnsi="Times New Roman" w:eastAsia="宋体" w:cs="Times New Roman"/>
          <w:sz w:val="24"/>
          <w:szCs w:val="24"/>
          <w:lang w:eastAsia="zh-CN"/>
        </w:rPr>
        <w:t>#（上）与</w:t>
      </w:r>
      <w:bookmarkStart w:id="59" w:name="OLE_LINK76"/>
      <w:bookmarkStart w:id="60" w:name="OLE_LINK77"/>
      <w:r>
        <w:rPr>
          <w:rFonts w:hint="eastAsia" w:ascii="Times New Roman" w:hAnsi="Times New Roman" w:eastAsia="宋体" w:cs="Times New Roman"/>
          <w:sz w:val="24"/>
          <w:szCs w:val="24"/>
          <w:lang w:eastAsia="zh-CN"/>
        </w:rPr>
        <w:t>聚甲基丙烯酸甲酯</w:t>
      </w:r>
      <w:bookmarkEnd w:id="59"/>
      <w:bookmarkEnd w:id="60"/>
      <w:r>
        <w:rPr>
          <w:rFonts w:hint="eastAsia" w:ascii="Times New Roman" w:hAnsi="Times New Roman" w:eastAsia="宋体" w:cs="Times New Roman"/>
          <w:sz w:val="24"/>
          <w:szCs w:val="24"/>
          <w:lang w:eastAsia="zh-CN"/>
        </w:rPr>
        <w:t>标准谱图（下）对比</w:t>
      </w:r>
    </w:p>
    <w:p w14:paraId="24F881F4">
      <w:pPr>
        <w:pStyle w:val="61"/>
        <w:keepNext/>
        <w:overflowPunct w:val="0"/>
        <w:topLinePunct/>
        <w:ind w:firstLine="420"/>
        <w:jc w:val="center"/>
      </w:pPr>
      <w:r>
        <w:drawing>
          <wp:inline distT="0" distB="0" distL="0" distR="0">
            <wp:extent cx="5306060" cy="2519680"/>
            <wp:effectExtent l="0" t="0" r="8890" b="0"/>
            <wp:docPr id="66" name="图片 66" descr="F:\标准\修改\EP样品-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F:\标准\修改\EP样品-2.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0B112C63">
      <w:pPr>
        <w:overflowPunct w:val="0"/>
        <w:topLinePunct/>
        <w:ind w:firstLine="480"/>
        <w:jc w:val="center"/>
        <w:rPr>
          <w:lang w:eastAsia="zh-CN"/>
        </w:rPr>
      </w:pPr>
      <w:r>
        <w:rPr>
          <w:rFonts w:hint="eastAsia" w:cs="Times New Roman"/>
          <w:szCs w:val="24"/>
          <w:lang w:eastAsia="zh-CN"/>
        </w:rPr>
        <w:t xml:space="preserve">附图 </w:t>
      </w:r>
      <w:r>
        <w:rPr>
          <w:rFonts w:cs="Times New Roman"/>
          <w:szCs w:val="24"/>
          <w:lang w:eastAsia="zh-CN"/>
        </w:rPr>
        <w:t>7</w:t>
      </w:r>
      <w:r>
        <w:rPr>
          <w:rFonts w:hint="eastAsia" w:cs="Times New Roman"/>
          <w:szCs w:val="24"/>
          <w:lang w:eastAsia="zh-CN"/>
        </w:rPr>
        <w:t>样品</w:t>
      </w:r>
      <w:r>
        <w:rPr>
          <w:rFonts w:cs="Times New Roman"/>
          <w:szCs w:val="24"/>
          <w:lang w:eastAsia="zh-CN"/>
        </w:rPr>
        <w:t>3#</w:t>
      </w:r>
      <w:r>
        <w:rPr>
          <w:rFonts w:hint="eastAsia" w:cs="Times New Roman"/>
          <w:szCs w:val="24"/>
          <w:lang w:eastAsia="zh-CN"/>
        </w:rPr>
        <w:t>（上图）与</w:t>
      </w:r>
      <w:bookmarkStart w:id="61" w:name="OLE_LINK108"/>
      <w:bookmarkStart w:id="62" w:name="OLE_LINK172"/>
      <w:bookmarkStart w:id="63" w:name="OLE_LINK173"/>
      <w:r>
        <w:rPr>
          <w:rFonts w:hint="eastAsia" w:cs="Times New Roman"/>
          <w:szCs w:val="24"/>
          <w:lang w:eastAsia="zh-CN"/>
        </w:rPr>
        <w:t>环氧树脂</w:t>
      </w:r>
      <w:bookmarkEnd w:id="61"/>
      <w:bookmarkEnd w:id="62"/>
      <w:bookmarkEnd w:id="63"/>
      <w:r>
        <w:rPr>
          <w:rFonts w:hint="eastAsia" w:cs="Times New Roman"/>
          <w:szCs w:val="24"/>
          <w:lang w:eastAsia="zh-CN"/>
        </w:rPr>
        <w:t>标准谱图（下图）对比</w:t>
      </w:r>
    </w:p>
    <w:p w14:paraId="40CE056A">
      <w:pPr>
        <w:overflowPunct w:val="0"/>
        <w:topLinePunct/>
        <w:ind w:firstLine="198" w:firstLineChars="82"/>
        <w:jc w:val="center"/>
        <w:rPr>
          <w:b/>
          <w:lang w:eastAsia="zh-CN"/>
        </w:rPr>
      </w:pPr>
      <w:r>
        <w:rPr>
          <w:b/>
          <w:lang w:eastAsia="zh-CN"/>
        </w:rPr>
        <w:drawing>
          <wp:inline distT="0" distB="0" distL="0" distR="0">
            <wp:extent cx="5306060" cy="2519680"/>
            <wp:effectExtent l="0" t="0" r="8890" b="0"/>
            <wp:docPr id="44" name="图片 44" descr="F:\标准\修改\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F:\标准\修改\P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1BE8347C">
      <w:pPr>
        <w:overflowPunct w:val="0"/>
        <w:topLinePunct/>
        <w:ind w:firstLine="196" w:firstLineChars="82"/>
        <w:jc w:val="center"/>
        <w:rPr>
          <w:b/>
          <w:lang w:eastAsia="zh-CN"/>
        </w:rPr>
      </w:pPr>
      <w:r>
        <w:rPr>
          <w:rFonts w:hint="eastAsia" w:cs="Times New Roman"/>
          <w:szCs w:val="24"/>
          <w:lang w:eastAsia="zh-CN"/>
        </w:rPr>
        <w:t xml:space="preserve">附图 </w:t>
      </w:r>
      <w:r>
        <w:rPr>
          <w:rFonts w:cs="Times New Roman"/>
          <w:szCs w:val="24"/>
          <w:lang w:eastAsia="zh-CN"/>
        </w:rPr>
        <w:t>8</w:t>
      </w:r>
      <w:r>
        <w:rPr>
          <w:rFonts w:hint="eastAsia" w:cs="Times New Roman"/>
          <w:szCs w:val="24"/>
          <w:lang w:eastAsia="zh-CN"/>
        </w:rPr>
        <w:t>样品</w:t>
      </w:r>
      <w:r>
        <w:rPr>
          <w:rFonts w:cs="Times New Roman"/>
          <w:szCs w:val="24"/>
          <w:lang w:eastAsia="zh-CN"/>
        </w:rPr>
        <w:t>4#</w:t>
      </w:r>
      <w:r>
        <w:rPr>
          <w:rFonts w:hint="eastAsia" w:cs="Times New Roman"/>
          <w:szCs w:val="24"/>
          <w:lang w:eastAsia="zh-CN"/>
        </w:rPr>
        <w:t>（上图）与聚乙烯标准谱图（下图）对比</w:t>
      </w:r>
    </w:p>
    <w:p w14:paraId="773E68CB">
      <w:pPr>
        <w:overflowPunct w:val="0"/>
        <w:topLinePunct/>
        <w:ind w:firstLine="198" w:firstLineChars="82"/>
        <w:jc w:val="center"/>
        <w:rPr>
          <w:b/>
          <w:lang w:eastAsia="zh-CN"/>
        </w:rPr>
      </w:pPr>
      <w:r>
        <w:rPr>
          <w:b/>
          <w:lang w:eastAsia="zh-CN"/>
        </w:rPr>
        <w:drawing>
          <wp:inline distT="0" distB="0" distL="0" distR="0">
            <wp:extent cx="5306060" cy="2519680"/>
            <wp:effectExtent l="0" t="0" r="8890" b="0"/>
            <wp:docPr id="50" name="图片 50" descr="F:\标准\修改\P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F:\标准\修改\PP.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46E045FF">
      <w:pPr>
        <w:overflowPunct w:val="0"/>
        <w:topLinePunct/>
        <w:ind w:firstLine="196" w:firstLineChars="82"/>
        <w:jc w:val="center"/>
        <w:rPr>
          <w:b/>
          <w:lang w:eastAsia="zh-CN"/>
        </w:rPr>
      </w:pPr>
      <w:r>
        <w:rPr>
          <w:rFonts w:hint="eastAsia" w:cs="Times New Roman"/>
          <w:szCs w:val="24"/>
          <w:lang w:eastAsia="zh-CN"/>
        </w:rPr>
        <w:t xml:space="preserve">附图 </w:t>
      </w:r>
      <w:r>
        <w:rPr>
          <w:rFonts w:cs="Times New Roman"/>
          <w:szCs w:val="24"/>
          <w:lang w:eastAsia="zh-CN"/>
        </w:rPr>
        <w:t>9</w:t>
      </w:r>
      <w:r>
        <w:rPr>
          <w:rFonts w:hint="eastAsia" w:cs="Times New Roman"/>
          <w:szCs w:val="24"/>
          <w:lang w:eastAsia="zh-CN"/>
        </w:rPr>
        <w:t>样品</w:t>
      </w:r>
      <w:r>
        <w:rPr>
          <w:rFonts w:cs="Times New Roman"/>
          <w:szCs w:val="24"/>
          <w:lang w:eastAsia="zh-CN"/>
        </w:rPr>
        <w:t>5#</w:t>
      </w:r>
      <w:r>
        <w:rPr>
          <w:rFonts w:hint="eastAsia" w:cs="Times New Roman"/>
          <w:szCs w:val="24"/>
          <w:lang w:eastAsia="zh-CN"/>
        </w:rPr>
        <w:t>（上图）与聚丙烯标准谱图（下图）对比</w:t>
      </w:r>
    </w:p>
    <w:p w14:paraId="6A4DCF78">
      <w:pPr>
        <w:overflowPunct w:val="0"/>
        <w:topLinePunct/>
        <w:ind w:firstLine="198" w:firstLineChars="82"/>
        <w:jc w:val="center"/>
        <w:rPr>
          <w:b/>
          <w:lang w:eastAsia="zh-CN"/>
        </w:rPr>
      </w:pPr>
      <w:r>
        <w:rPr>
          <w:b/>
          <w:lang w:eastAsia="zh-CN"/>
        </w:rPr>
        <w:drawing>
          <wp:inline distT="0" distB="0" distL="0" distR="0">
            <wp:extent cx="5306060" cy="2519680"/>
            <wp:effectExtent l="0" t="0" r="8890" b="0"/>
            <wp:docPr id="52" name="图片 52" descr="F:\标准\修改\PV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F:\标准\修改\PVC.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141F8386">
      <w:pPr>
        <w:overflowPunct w:val="0"/>
        <w:topLinePunct/>
        <w:ind w:firstLine="196" w:firstLineChars="82"/>
        <w:jc w:val="center"/>
        <w:rPr>
          <w:b/>
          <w:lang w:eastAsia="zh-CN"/>
        </w:rPr>
      </w:pPr>
      <w:r>
        <w:rPr>
          <w:rFonts w:hint="eastAsia" w:cs="Times New Roman"/>
          <w:szCs w:val="24"/>
          <w:lang w:eastAsia="zh-CN"/>
        </w:rPr>
        <w:t>附图</w:t>
      </w:r>
      <w:r>
        <w:rPr>
          <w:rFonts w:cs="Times New Roman"/>
          <w:szCs w:val="24"/>
          <w:lang w:eastAsia="zh-CN"/>
        </w:rPr>
        <w:t>10</w:t>
      </w:r>
      <w:r>
        <w:rPr>
          <w:rFonts w:hint="eastAsia" w:cs="Times New Roman"/>
          <w:szCs w:val="24"/>
          <w:lang w:eastAsia="zh-CN"/>
        </w:rPr>
        <w:t>样品</w:t>
      </w:r>
      <w:r>
        <w:rPr>
          <w:rFonts w:cs="Times New Roman"/>
          <w:szCs w:val="24"/>
          <w:lang w:eastAsia="zh-CN"/>
        </w:rPr>
        <w:t>6#</w:t>
      </w:r>
      <w:r>
        <w:rPr>
          <w:rFonts w:hint="eastAsia" w:cs="Times New Roman"/>
          <w:szCs w:val="24"/>
          <w:lang w:eastAsia="zh-CN"/>
        </w:rPr>
        <w:t>（上图）与聚氯乙烯标准谱图（下图）对比</w:t>
      </w:r>
    </w:p>
    <w:p w14:paraId="52F64087">
      <w:pPr>
        <w:overflowPunct w:val="0"/>
        <w:topLinePunct/>
        <w:ind w:firstLine="198" w:firstLineChars="82"/>
        <w:jc w:val="center"/>
        <w:rPr>
          <w:b/>
          <w:lang w:eastAsia="zh-CN"/>
        </w:rPr>
      </w:pPr>
      <w:r>
        <w:rPr>
          <w:b/>
          <w:lang w:eastAsia="zh-CN"/>
        </w:rPr>
        <w:drawing>
          <wp:inline distT="0" distB="0" distL="0" distR="0">
            <wp:extent cx="5306060" cy="2519680"/>
            <wp:effectExtent l="0" t="0" r="8890" b="0"/>
            <wp:docPr id="53" name="图片 53" descr="F:\标准\修改\P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F:\标准\修改\PC.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53C41B24">
      <w:pPr>
        <w:overflowPunct w:val="0"/>
        <w:topLinePunct/>
        <w:ind w:firstLine="196" w:firstLineChars="82"/>
        <w:jc w:val="center"/>
        <w:rPr>
          <w:b/>
          <w:lang w:eastAsia="zh-CN"/>
        </w:rPr>
      </w:pPr>
      <w:r>
        <w:rPr>
          <w:rFonts w:hint="eastAsia" w:cs="Times New Roman"/>
          <w:szCs w:val="24"/>
          <w:lang w:eastAsia="zh-CN"/>
        </w:rPr>
        <w:t>附图</w:t>
      </w:r>
      <w:r>
        <w:rPr>
          <w:rFonts w:cs="Times New Roman"/>
          <w:szCs w:val="24"/>
          <w:lang w:eastAsia="zh-CN"/>
        </w:rPr>
        <w:t xml:space="preserve">11 </w:t>
      </w:r>
      <w:r>
        <w:rPr>
          <w:rFonts w:hint="eastAsia" w:cs="Times New Roman"/>
          <w:szCs w:val="24"/>
          <w:lang w:eastAsia="zh-CN"/>
        </w:rPr>
        <w:t>样品</w:t>
      </w:r>
      <w:r>
        <w:rPr>
          <w:rFonts w:cs="Times New Roman"/>
          <w:szCs w:val="24"/>
          <w:lang w:eastAsia="zh-CN"/>
        </w:rPr>
        <w:t>7#</w:t>
      </w:r>
      <w:r>
        <w:rPr>
          <w:rFonts w:hint="eastAsia" w:cs="Times New Roman"/>
          <w:szCs w:val="24"/>
          <w:lang w:eastAsia="zh-CN"/>
        </w:rPr>
        <w:t>（上图）与聚碳酸酯标准谱图（下图）对比</w:t>
      </w:r>
    </w:p>
    <w:p w14:paraId="1F61C258">
      <w:pPr>
        <w:overflowPunct w:val="0"/>
        <w:topLinePunct/>
        <w:ind w:firstLine="198" w:firstLineChars="82"/>
        <w:jc w:val="center"/>
        <w:rPr>
          <w:b/>
          <w:lang w:eastAsia="zh-CN"/>
        </w:rPr>
      </w:pPr>
      <w:r>
        <w:rPr>
          <w:b/>
          <w:lang w:eastAsia="zh-CN"/>
        </w:rPr>
        <w:drawing>
          <wp:inline distT="0" distB="0" distL="0" distR="0">
            <wp:extent cx="5306060" cy="2519680"/>
            <wp:effectExtent l="0" t="0" r="8890" b="0"/>
            <wp:docPr id="54" name="图片 54" descr="F:\标准\修改\P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F:\标准\修改\PET.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63D82CA8">
      <w:pPr>
        <w:overflowPunct w:val="0"/>
        <w:topLinePunct/>
        <w:ind w:firstLine="196" w:firstLineChars="82"/>
        <w:jc w:val="center"/>
        <w:rPr>
          <w:b/>
          <w:lang w:eastAsia="zh-CN"/>
        </w:rPr>
      </w:pPr>
      <w:r>
        <w:rPr>
          <w:rFonts w:hint="eastAsia" w:cs="Times New Roman"/>
          <w:szCs w:val="24"/>
          <w:lang w:eastAsia="zh-CN"/>
        </w:rPr>
        <w:t>附图</w:t>
      </w:r>
      <w:r>
        <w:rPr>
          <w:rFonts w:cs="Times New Roman"/>
          <w:szCs w:val="24"/>
          <w:lang w:eastAsia="zh-CN"/>
        </w:rPr>
        <w:t>12</w:t>
      </w:r>
      <w:r>
        <w:rPr>
          <w:rFonts w:hint="eastAsia" w:cs="Times New Roman"/>
          <w:szCs w:val="24"/>
          <w:lang w:eastAsia="zh-CN"/>
        </w:rPr>
        <w:t>样品</w:t>
      </w:r>
      <w:r>
        <w:rPr>
          <w:rFonts w:cs="Times New Roman"/>
          <w:szCs w:val="24"/>
          <w:lang w:eastAsia="zh-CN"/>
        </w:rPr>
        <w:t>8#</w:t>
      </w:r>
      <w:r>
        <w:rPr>
          <w:rFonts w:hint="eastAsia" w:cs="Times New Roman"/>
          <w:szCs w:val="24"/>
          <w:lang w:eastAsia="zh-CN"/>
        </w:rPr>
        <w:t>（上图）与聚对苯二甲酸乙二醇酯标准谱图（下图）对比</w:t>
      </w:r>
    </w:p>
    <w:p w14:paraId="4D2A9E39">
      <w:pPr>
        <w:overflowPunct w:val="0"/>
        <w:topLinePunct/>
        <w:ind w:firstLine="198" w:firstLineChars="82"/>
        <w:jc w:val="center"/>
        <w:rPr>
          <w:b/>
          <w:lang w:eastAsia="zh-CN"/>
        </w:rPr>
      </w:pPr>
      <w:r>
        <w:rPr>
          <w:b/>
          <w:lang w:eastAsia="zh-CN"/>
        </w:rPr>
        <w:drawing>
          <wp:inline distT="0" distB="0" distL="0" distR="0">
            <wp:extent cx="5306060" cy="2519680"/>
            <wp:effectExtent l="0" t="0" r="8890" b="0"/>
            <wp:docPr id="55" name="图片 55" descr="F:\标准\修改\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F:\标准\修改\PA.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4F802112">
      <w:pPr>
        <w:overflowPunct w:val="0"/>
        <w:topLinePunct/>
        <w:ind w:firstLine="196" w:firstLineChars="82"/>
        <w:jc w:val="center"/>
        <w:rPr>
          <w:b/>
          <w:lang w:eastAsia="zh-CN"/>
        </w:rPr>
      </w:pPr>
      <w:r>
        <w:rPr>
          <w:rFonts w:hint="eastAsia" w:cs="Times New Roman"/>
          <w:szCs w:val="24"/>
          <w:lang w:eastAsia="zh-CN"/>
        </w:rPr>
        <w:t>附图</w:t>
      </w:r>
      <w:r>
        <w:rPr>
          <w:rFonts w:cs="Times New Roman"/>
          <w:szCs w:val="24"/>
          <w:lang w:eastAsia="zh-CN"/>
        </w:rPr>
        <w:t>13</w:t>
      </w:r>
      <w:r>
        <w:rPr>
          <w:rFonts w:hint="eastAsia" w:cs="Times New Roman"/>
          <w:szCs w:val="24"/>
          <w:lang w:eastAsia="zh-CN"/>
        </w:rPr>
        <w:t>样品</w:t>
      </w:r>
      <w:r>
        <w:rPr>
          <w:rFonts w:cs="Times New Roman"/>
          <w:szCs w:val="24"/>
          <w:lang w:eastAsia="zh-CN"/>
        </w:rPr>
        <w:t>9#</w:t>
      </w:r>
      <w:r>
        <w:rPr>
          <w:rFonts w:hint="eastAsia" w:cs="Times New Roman"/>
          <w:szCs w:val="24"/>
          <w:lang w:eastAsia="zh-CN"/>
        </w:rPr>
        <w:t>（上图）与聚酰胺标准谱图（下图）对比</w:t>
      </w:r>
    </w:p>
    <w:p w14:paraId="13BB7870">
      <w:pPr>
        <w:overflowPunct w:val="0"/>
        <w:topLinePunct/>
        <w:ind w:firstLine="198" w:firstLineChars="82"/>
        <w:jc w:val="center"/>
        <w:rPr>
          <w:b/>
          <w:lang w:eastAsia="zh-CN"/>
        </w:rPr>
      </w:pPr>
      <w:r>
        <w:rPr>
          <w:b/>
          <w:lang w:eastAsia="zh-CN"/>
        </w:rPr>
        <w:drawing>
          <wp:inline distT="0" distB="0" distL="0" distR="0">
            <wp:extent cx="5306060" cy="2519680"/>
            <wp:effectExtent l="0" t="0" r="8890" b="0"/>
            <wp:docPr id="59" name="图片 59" descr="F:\标准\修改\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F:\标准\修改\PS.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075D928D">
      <w:pPr>
        <w:overflowPunct w:val="0"/>
        <w:topLinePunct/>
        <w:ind w:firstLine="196" w:firstLineChars="82"/>
        <w:jc w:val="center"/>
        <w:rPr>
          <w:b/>
          <w:lang w:eastAsia="zh-CN"/>
        </w:rPr>
      </w:pPr>
      <w:r>
        <w:rPr>
          <w:rFonts w:hint="eastAsia" w:cs="Times New Roman"/>
          <w:szCs w:val="24"/>
          <w:lang w:eastAsia="zh-CN"/>
        </w:rPr>
        <w:t>附图</w:t>
      </w:r>
      <w:r>
        <w:rPr>
          <w:rFonts w:cs="Times New Roman"/>
          <w:szCs w:val="24"/>
          <w:lang w:eastAsia="zh-CN"/>
        </w:rPr>
        <w:t xml:space="preserve">14 </w:t>
      </w:r>
      <w:r>
        <w:rPr>
          <w:rFonts w:hint="eastAsia" w:cs="Times New Roman"/>
          <w:szCs w:val="24"/>
          <w:lang w:eastAsia="zh-CN"/>
        </w:rPr>
        <w:t>样品</w:t>
      </w:r>
      <w:r>
        <w:rPr>
          <w:rFonts w:cs="Times New Roman"/>
          <w:szCs w:val="24"/>
          <w:lang w:eastAsia="zh-CN"/>
        </w:rPr>
        <w:t>10#</w:t>
      </w:r>
      <w:r>
        <w:rPr>
          <w:rFonts w:hint="eastAsia" w:cs="Times New Roman"/>
          <w:szCs w:val="24"/>
          <w:lang w:eastAsia="zh-CN"/>
        </w:rPr>
        <w:t>（上图）与聚苯乙烯标准谱图（下图）对比</w:t>
      </w:r>
    </w:p>
    <w:p w14:paraId="4E79F64F">
      <w:pPr>
        <w:overflowPunct w:val="0"/>
        <w:topLinePunct/>
        <w:ind w:firstLine="198" w:firstLineChars="82"/>
        <w:jc w:val="center"/>
        <w:rPr>
          <w:b/>
          <w:lang w:eastAsia="zh-CN"/>
        </w:rPr>
      </w:pPr>
      <w:r>
        <w:rPr>
          <w:b/>
          <w:lang w:eastAsia="zh-CN"/>
        </w:rPr>
        <w:drawing>
          <wp:inline distT="0" distB="0" distL="0" distR="0">
            <wp:extent cx="5306060" cy="2519680"/>
            <wp:effectExtent l="0" t="0" r="8890" b="0"/>
            <wp:docPr id="60" name="图片 60" descr="F:\标准\修改\AB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F:\标准\修改\ABS.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6D437FD1">
      <w:pPr>
        <w:overflowPunct w:val="0"/>
        <w:topLinePunct/>
        <w:ind w:firstLine="196" w:firstLineChars="82"/>
        <w:jc w:val="center"/>
        <w:rPr>
          <w:b/>
          <w:lang w:eastAsia="zh-CN"/>
        </w:rPr>
      </w:pPr>
      <w:r>
        <w:rPr>
          <w:rFonts w:hint="eastAsia" w:cs="Times New Roman"/>
          <w:szCs w:val="24"/>
          <w:lang w:eastAsia="zh-CN"/>
        </w:rPr>
        <w:t>附图</w:t>
      </w:r>
      <w:r>
        <w:rPr>
          <w:rFonts w:cs="Times New Roman"/>
          <w:szCs w:val="24"/>
          <w:lang w:eastAsia="zh-CN"/>
        </w:rPr>
        <w:t>15</w:t>
      </w:r>
      <w:r>
        <w:rPr>
          <w:rFonts w:hint="eastAsia" w:cs="Times New Roman"/>
          <w:szCs w:val="24"/>
          <w:lang w:eastAsia="zh-CN"/>
        </w:rPr>
        <w:t>样品</w:t>
      </w:r>
      <w:r>
        <w:rPr>
          <w:rFonts w:cs="Times New Roman"/>
          <w:szCs w:val="24"/>
          <w:lang w:eastAsia="zh-CN"/>
        </w:rPr>
        <w:t>11#</w:t>
      </w:r>
      <w:r>
        <w:rPr>
          <w:rFonts w:hint="eastAsia" w:cs="Times New Roman"/>
          <w:szCs w:val="24"/>
          <w:lang w:eastAsia="zh-CN"/>
        </w:rPr>
        <w:t>（上图）与丙烯腈-丁二烯-苯乙烯共聚物标准谱图（下图）对比</w:t>
      </w:r>
    </w:p>
    <w:p w14:paraId="6C1EFAA6">
      <w:pPr>
        <w:overflowPunct w:val="0"/>
        <w:topLinePunct/>
        <w:ind w:firstLine="198" w:firstLineChars="82"/>
        <w:jc w:val="center"/>
        <w:rPr>
          <w:b/>
          <w:lang w:eastAsia="zh-CN"/>
        </w:rPr>
      </w:pPr>
      <w:r>
        <w:rPr>
          <w:b/>
          <w:lang w:eastAsia="zh-CN"/>
        </w:rPr>
        <w:drawing>
          <wp:inline distT="0" distB="0" distL="0" distR="0">
            <wp:extent cx="5306060" cy="2519680"/>
            <wp:effectExtent l="0" t="0" r="8890" b="0"/>
            <wp:docPr id="67" name="图片 67" descr="F:\标准\修改\E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F:\标准\修改\EVA.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306400" cy="2520000"/>
                    </a:xfrm>
                    <a:prstGeom prst="rect">
                      <a:avLst/>
                    </a:prstGeom>
                    <a:noFill/>
                    <a:ln>
                      <a:noFill/>
                    </a:ln>
                  </pic:spPr>
                </pic:pic>
              </a:graphicData>
            </a:graphic>
          </wp:inline>
        </w:drawing>
      </w:r>
    </w:p>
    <w:p w14:paraId="7ACA58F1">
      <w:pPr>
        <w:overflowPunct w:val="0"/>
        <w:topLinePunct/>
        <w:ind w:firstLine="196" w:firstLineChars="82"/>
        <w:jc w:val="center"/>
        <w:rPr>
          <w:b/>
          <w:lang w:eastAsia="zh-CN"/>
        </w:rPr>
      </w:pPr>
      <w:r>
        <w:rPr>
          <w:rFonts w:hint="eastAsia" w:cs="Times New Roman"/>
          <w:szCs w:val="24"/>
          <w:lang w:eastAsia="zh-CN"/>
        </w:rPr>
        <w:t>附图1</w:t>
      </w:r>
      <w:r>
        <w:rPr>
          <w:rFonts w:cs="Times New Roman"/>
          <w:szCs w:val="24"/>
          <w:lang w:eastAsia="zh-CN"/>
        </w:rPr>
        <w:t>6</w:t>
      </w:r>
      <w:r>
        <w:rPr>
          <w:rFonts w:hint="eastAsia" w:cs="Times New Roman"/>
          <w:szCs w:val="24"/>
          <w:lang w:eastAsia="zh-CN"/>
        </w:rPr>
        <w:t>样品</w:t>
      </w:r>
      <w:r>
        <w:rPr>
          <w:rFonts w:cs="Times New Roman"/>
          <w:szCs w:val="24"/>
          <w:lang w:eastAsia="zh-CN"/>
        </w:rPr>
        <w:t>12#</w:t>
      </w:r>
      <w:r>
        <w:rPr>
          <w:rFonts w:hint="eastAsia" w:cs="Times New Roman"/>
          <w:szCs w:val="24"/>
          <w:lang w:eastAsia="zh-CN"/>
        </w:rPr>
        <w:t>（上图）与乙烯-乙酸乙</w:t>
      </w:r>
      <w:r>
        <w:rPr>
          <w:rFonts w:hint="eastAsia"/>
          <w:sz w:val="21"/>
          <w:szCs w:val="21"/>
          <w:lang w:eastAsia="zh-CN"/>
        </w:rPr>
        <w:t>烯</w:t>
      </w:r>
      <w:r>
        <w:rPr>
          <w:rFonts w:hint="eastAsia" w:cs="Times New Roman"/>
          <w:szCs w:val="24"/>
          <w:lang w:eastAsia="zh-CN"/>
        </w:rPr>
        <w:t>酯共聚物标准谱图（下图）对比</w:t>
      </w:r>
    </w:p>
    <w:p w14:paraId="25002222">
      <w:pPr>
        <w:keepNext/>
        <w:overflowPunct w:val="0"/>
        <w:topLinePunct/>
        <w:ind w:firstLine="480"/>
        <w:jc w:val="center"/>
        <w:rPr>
          <w:rFonts w:cs="Times New Roman"/>
          <w:szCs w:val="21"/>
          <w:lang w:eastAsia="zh-CN"/>
        </w:rPr>
      </w:pPr>
      <w:r>
        <w:rPr>
          <w:rFonts w:cs="Times New Roman"/>
          <w:szCs w:val="21"/>
          <w:lang w:eastAsia="zh-CN"/>
        </w:rPr>
        <w:t>附表 2 12</w:t>
      </w:r>
      <w:r>
        <w:rPr>
          <w:rFonts w:hint="eastAsia" w:cs="Times New Roman"/>
          <w:szCs w:val="21"/>
          <w:lang w:eastAsia="zh-CN"/>
        </w:rPr>
        <w:t>种</w:t>
      </w:r>
      <w:r>
        <w:rPr>
          <w:rFonts w:cs="Times New Roman"/>
          <w:szCs w:val="21"/>
          <w:lang w:eastAsia="zh-CN"/>
        </w:rPr>
        <w:t>样品</w:t>
      </w:r>
      <w:r>
        <w:rPr>
          <w:rFonts w:hint="eastAsia" w:cs="Times New Roman"/>
          <w:szCs w:val="21"/>
          <w:lang w:eastAsia="zh-CN"/>
        </w:rPr>
        <w:t>红外光谱法树脂鉴定</w:t>
      </w:r>
      <w:r>
        <w:rPr>
          <w:rFonts w:cs="Times New Roman"/>
          <w:szCs w:val="21"/>
          <w:lang w:eastAsia="zh-CN"/>
        </w:rPr>
        <w:t>结果</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2"/>
        <w:gridCol w:w="2654"/>
        <w:gridCol w:w="2685"/>
      </w:tblGrid>
      <w:tr w14:paraId="47FA2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92" w:type="dxa"/>
            <w:shd w:val="clear" w:color="auto" w:fill="D8D8D8" w:themeFill="background1" w:themeFillShade="D9"/>
            <w:vAlign w:val="center"/>
          </w:tcPr>
          <w:p w14:paraId="44363288">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样品</w:t>
            </w:r>
          </w:p>
        </w:tc>
        <w:tc>
          <w:tcPr>
            <w:tcW w:w="2654" w:type="dxa"/>
            <w:shd w:val="clear" w:color="auto" w:fill="D8D8D8" w:themeFill="background1" w:themeFillShade="D9"/>
            <w:vAlign w:val="center"/>
          </w:tcPr>
          <w:p w14:paraId="1C3491BD">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红外光谱法</w:t>
            </w:r>
          </w:p>
          <w:p w14:paraId="6E3D56DB">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鉴别结论</w:t>
            </w:r>
          </w:p>
        </w:tc>
        <w:tc>
          <w:tcPr>
            <w:tcW w:w="2685" w:type="dxa"/>
            <w:shd w:val="clear" w:color="auto" w:fill="D8D8D8" w:themeFill="background1" w:themeFillShade="D9"/>
            <w:vAlign w:val="center"/>
          </w:tcPr>
          <w:p w14:paraId="423A0C64">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生产方提供信息</w:t>
            </w:r>
          </w:p>
        </w:tc>
      </w:tr>
      <w:tr w14:paraId="5D81A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292" w:type="dxa"/>
            <w:vAlign w:val="center"/>
          </w:tcPr>
          <w:p w14:paraId="623006A4">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1</w:t>
            </w:r>
            <w:r>
              <w:rPr>
                <w:kern w:val="2"/>
                <w:sz w:val="21"/>
                <w:szCs w:val="21"/>
                <w:lang w:eastAsia="zh-CN"/>
              </w:rPr>
              <w:t>#</w:t>
            </w:r>
          </w:p>
        </w:tc>
        <w:tc>
          <w:tcPr>
            <w:tcW w:w="2654" w:type="dxa"/>
            <w:vAlign w:val="center"/>
          </w:tcPr>
          <w:p w14:paraId="677B9D10">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不饱和树脂</w:t>
            </w:r>
          </w:p>
        </w:tc>
        <w:tc>
          <w:tcPr>
            <w:tcW w:w="2685" w:type="dxa"/>
            <w:vAlign w:val="center"/>
          </w:tcPr>
          <w:p w14:paraId="0C4566B4">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不饱和树脂</w:t>
            </w:r>
          </w:p>
        </w:tc>
      </w:tr>
      <w:tr w14:paraId="4B8BA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292" w:type="dxa"/>
            <w:vAlign w:val="center"/>
          </w:tcPr>
          <w:p w14:paraId="52C2C126">
            <w:pPr>
              <w:overflowPunct w:val="0"/>
              <w:topLinePunct/>
              <w:spacing w:line="240" w:lineRule="auto"/>
              <w:ind w:firstLine="0" w:firstLineChars="0"/>
              <w:jc w:val="center"/>
              <w:rPr>
                <w:kern w:val="2"/>
                <w:sz w:val="21"/>
                <w:szCs w:val="21"/>
                <w:lang w:eastAsia="zh-CN"/>
              </w:rPr>
            </w:pPr>
            <w:r>
              <w:rPr>
                <w:kern w:val="2"/>
                <w:sz w:val="21"/>
                <w:szCs w:val="21"/>
                <w:lang w:eastAsia="zh-CN"/>
              </w:rPr>
              <w:t>2#</w:t>
            </w:r>
          </w:p>
        </w:tc>
        <w:tc>
          <w:tcPr>
            <w:tcW w:w="2654" w:type="dxa"/>
            <w:vAlign w:val="center"/>
          </w:tcPr>
          <w:p w14:paraId="1478C02D">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聚甲基丙烯酸甲酯</w:t>
            </w:r>
          </w:p>
        </w:tc>
        <w:tc>
          <w:tcPr>
            <w:tcW w:w="2685" w:type="dxa"/>
            <w:vAlign w:val="center"/>
          </w:tcPr>
          <w:p w14:paraId="77712B00">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聚甲基丙烯酸甲酯</w:t>
            </w:r>
          </w:p>
        </w:tc>
      </w:tr>
      <w:tr w14:paraId="491A9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292" w:type="dxa"/>
            <w:vAlign w:val="center"/>
          </w:tcPr>
          <w:p w14:paraId="47E2CE91">
            <w:pPr>
              <w:overflowPunct w:val="0"/>
              <w:topLinePunct/>
              <w:spacing w:line="240" w:lineRule="auto"/>
              <w:ind w:firstLine="0" w:firstLineChars="0"/>
              <w:jc w:val="center"/>
              <w:rPr>
                <w:kern w:val="2"/>
                <w:sz w:val="21"/>
                <w:szCs w:val="21"/>
                <w:lang w:eastAsia="zh-CN"/>
              </w:rPr>
            </w:pPr>
            <w:r>
              <w:rPr>
                <w:kern w:val="2"/>
                <w:sz w:val="21"/>
                <w:szCs w:val="21"/>
                <w:lang w:eastAsia="zh-CN"/>
              </w:rPr>
              <w:t>3#</w:t>
            </w:r>
          </w:p>
        </w:tc>
        <w:tc>
          <w:tcPr>
            <w:tcW w:w="2654" w:type="dxa"/>
            <w:vAlign w:val="center"/>
          </w:tcPr>
          <w:p w14:paraId="631B6A23">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环氧树脂</w:t>
            </w:r>
          </w:p>
        </w:tc>
        <w:tc>
          <w:tcPr>
            <w:tcW w:w="2685" w:type="dxa"/>
            <w:vAlign w:val="center"/>
          </w:tcPr>
          <w:p w14:paraId="2DC3BC46">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环氧树脂</w:t>
            </w:r>
          </w:p>
        </w:tc>
      </w:tr>
      <w:tr w14:paraId="3F37E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292" w:type="dxa"/>
            <w:vAlign w:val="center"/>
          </w:tcPr>
          <w:p w14:paraId="1B3BDF2B">
            <w:pPr>
              <w:overflowPunct w:val="0"/>
              <w:topLinePunct/>
              <w:spacing w:line="240" w:lineRule="auto"/>
              <w:ind w:firstLine="0" w:firstLineChars="0"/>
              <w:jc w:val="center"/>
              <w:rPr>
                <w:kern w:val="2"/>
                <w:sz w:val="21"/>
                <w:szCs w:val="21"/>
                <w:lang w:eastAsia="zh-CN"/>
              </w:rPr>
            </w:pPr>
            <w:r>
              <w:rPr>
                <w:kern w:val="2"/>
                <w:sz w:val="21"/>
                <w:szCs w:val="21"/>
                <w:lang w:eastAsia="zh-CN"/>
              </w:rPr>
              <w:t>4#</w:t>
            </w:r>
          </w:p>
        </w:tc>
        <w:tc>
          <w:tcPr>
            <w:tcW w:w="2654" w:type="dxa"/>
            <w:vAlign w:val="center"/>
          </w:tcPr>
          <w:p w14:paraId="62ED2B9E">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聚乙烯</w:t>
            </w:r>
          </w:p>
        </w:tc>
        <w:tc>
          <w:tcPr>
            <w:tcW w:w="2685" w:type="dxa"/>
            <w:vAlign w:val="center"/>
          </w:tcPr>
          <w:p w14:paraId="3FAF32AD">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聚乙烯</w:t>
            </w:r>
          </w:p>
        </w:tc>
      </w:tr>
      <w:tr w14:paraId="5F5C8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292" w:type="dxa"/>
            <w:vAlign w:val="center"/>
          </w:tcPr>
          <w:p w14:paraId="5FC0459E">
            <w:pPr>
              <w:overflowPunct w:val="0"/>
              <w:topLinePunct/>
              <w:spacing w:line="240" w:lineRule="auto"/>
              <w:ind w:firstLine="0" w:firstLineChars="0"/>
              <w:jc w:val="center"/>
              <w:rPr>
                <w:kern w:val="2"/>
                <w:sz w:val="21"/>
                <w:szCs w:val="21"/>
                <w:lang w:eastAsia="zh-CN"/>
              </w:rPr>
            </w:pPr>
            <w:r>
              <w:rPr>
                <w:kern w:val="2"/>
                <w:sz w:val="21"/>
                <w:szCs w:val="21"/>
                <w:lang w:eastAsia="zh-CN"/>
              </w:rPr>
              <w:t>5#</w:t>
            </w:r>
          </w:p>
        </w:tc>
        <w:tc>
          <w:tcPr>
            <w:tcW w:w="2654" w:type="dxa"/>
            <w:vAlign w:val="center"/>
          </w:tcPr>
          <w:p w14:paraId="6E3BA473">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聚丙烯</w:t>
            </w:r>
          </w:p>
        </w:tc>
        <w:tc>
          <w:tcPr>
            <w:tcW w:w="2685" w:type="dxa"/>
            <w:vAlign w:val="center"/>
          </w:tcPr>
          <w:p w14:paraId="0120B8C2">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聚丙烯</w:t>
            </w:r>
          </w:p>
        </w:tc>
      </w:tr>
      <w:tr w14:paraId="5BF3F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292" w:type="dxa"/>
            <w:vAlign w:val="center"/>
          </w:tcPr>
          <w:p w14:paraId="7C27CDB6">
            <w:pPr>
              <w:overflowPunct w:val="0"/>
              <w:topLinePunct/>
              <w:spacing w:line="240" w:lineRule="auto"/>
              <w:ind w:firstLine="0" w:firstLineChars="0"/>
              <w:jc w:val="center"/>
              <w:rPr>
                <w:kern w:val="2"/>
                <w:sz w:val="21"/>
                <w:szCs w:val="21"/>
                <w:lang w:eastAsia="zh-CN"/>
              </w:rPr>
            </w:pPr>
            <w:r>
              <w:rPr>
                <w:kern w:val="2"/>
                <w:sz w:val="21"/>
                <w:szCs w:val="21"/>
                <w:lang w:eastAsia="zh-CN"/>
              </w:rPr>
              <w:t>6#</w:t>
            </w:r>
          </w:p>
        </w:tc>
        <w:tc>
          <w:tcPr>
            <w:tcW w:w="2654" w:type="dxa"/>
            <w:vAlign w:val="center"/>
          </w:tcPr>
          <w:p w14:paraId="1E0BBA01">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聚氯乙烯</w:t>
            </w:r>
          </w:p>
        </w:tc>
        <w:tc>
          <w:tcPr>
            <w:tcW w:w="2685" w:type="dxa"/>
            <w:vAlign w:val="center"/>
          </w:tcPr>
          <w:p w14:paraId="42EB67A5">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聚氯乙烯</w:t>
            </w:r>
          </w:p>
        </w:tc>
      </w:tr>
      <w:tr w14:paraId="41440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292" w:type="dxa"/>
            <w:vAlign w:val="center"/>
          </w:tcPr>
          <w:p w14:paraId="384BC9CE">
            <w:pPr>
              <w:overflowPunct w:val="0"/>
              <w:topLinePunct/>
              <w:spacing w:line="240" w:lineRule="auto"/>
              <w:ind w:firstLine="0" w:firstLineChars="0"/>
              <w:jc w:val="center"/>
              <w:rPr>
                <w:kern w:val="2"/>
                <w:sz w:val="21"/>
                <w:szCs w:val="21"/>
                <w:lang w:eastAsia="zh-CN"/>
              </w:rPr>
            </w:pPr>
            <w:r>
              <w:rPr>
                <w:kern w:val="2"/>
                <w:sz w:val="21"/>
                <w:szCs w:val="21"/>
                <w:lang w:eastAsia="zh-CN"/>
              </w:rPr>
              <w:t>7#</w:t>
            </w:r>
          </w:p>
        </w:tc>
        <w:tc>
          <w:tcPr>
            <w:tcW w:w="2654" w:type="dxa"/>
            <w:vAlign w:val="center"/>
          </w:tcPr>
          <w:p w14:paraId="4E89C372">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聚碳酸酯</w:t>
            </w:r>
          </w:p>
        </w:tc>
        <w:tc>
          <w:tcPr>
            <w:tcW w:w="2685" w:type="dxa"/>
            <w:vAlign w:val="center"/>
          </w:tcPr>
          <w:p w14:paraId="161BBD90">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聚碳酸酯</w:t>
            </w:r>
          </w:p>
        </w:tc>
      </w:tr>
      <w:tr w14:paraId="3D5E3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292" w:type="dxa"/>
            <w:vAlign w:val="center"/>
          </w:tcPr>
          <w:p w14:paraId="23250973">
            <w:pPr>
              <w:overflowPunct w:val="0"/>
              <w:topLinePunct/>
              <w:spacing w:line="240" w:lineRule="auto"/>
              <w:ind w:firstLine="0" w:firstLineChars="0"/>
              <w:jc w:val="center"/>
              <w:rPr>
                <w:kern w:val="2"/>
                <w:sz w:val="21"/>
                <w:szCs w:val="21"/>
                <w:lang w:eastAsia="zh-CN"/>
              </w:rPr>
            </w:pPr>
            <w:r>
              <w:rPr>
                <w:kern w:val="2"/>
                <w:sz w:val="21"/>
                <w:szCs w:val="21"/>
                <w:lang w:eastAsia="zh-CN"/>
              </w:rPr>
              <w:t>8#</w:t>
            </w:r>
          </w:p>
        </w:tc>
        <w:tc>
          <w:tcPr>
            <w:tcW w:w="2654" w:type="dxa"/>
            <w:vAlign w:val="center"/>
          </w:tcPr>
          <w:p w14:paraId="5EE85179">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聚对苯二甲酸乙二醇</w:t>
            </w:r>
          </w:p>
        </w:tc>
        <w:tc>
          <w:tcPr>
            <w:tcW w:w="2685" w:type="dxa"/>
            <w:vAlign w:val="center"/>
          </w:tcPr>
          <w:p w14:paraId="097DE245">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聚对苯二甲酸乙二醇</w:t>
            </w:r>
          </w:p>
        </w:tc>
      </w:tr>
      <w:tr w14:paraId="7484D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292" w:type="dxa"/>
            <w:vAlign w:val="center"/>
          </w:tcPr>
          <w:p w14:paraId="034507FC">
            <w:pPr>
              <w:overflowPunct w:val="0"/>
              <w:topLinePunct/>
              <w:spacing w:line="240" w:lineRule="auto"/>
              <w:ind w:firstLine="0" w:firstLineChars="0"/>
              <w:jc w:val="center"/>
              <w:rPr>
                <w:kern w:val="2"/>
                <w:sz w:val="21"/>
                <w:szCs w:val="21"/>
                <w:lang w:eastAsia="zh-CN"/>
              </w:rPr>
            </w:pPr>
            <w:r>
              <w:rPr>
                <w:kern w:val="2"/>
                <w:sz w:val="21"/>
                <w:szCs w:val="21"/>
                <w:lang w:eastAsia="zh-CN"/>
              </w:rPr>
              <w:t>9#</w:t>
            </w:r>
          </w:p>
        </w:tc>
        <w:tc>
          <w:tcPr>
            <w:tcW w:w="2654" w:type="dxa"/>
            <w:vAlign w:val="center"/>
          </w:tcPr>
          <w:p w14:paraId="0A5001BA">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聚酰胺</w:t>
            </w:r>
          </w:p>
        </w:tc>
        <w:tc>
          <w:tcPr>
            <w:tcW w:w="2685" w:type="dxa"/>
            <w:vAlign w:val="center"/>
          </w:tcPr>
          <w:p w14:paraId="67850103">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聚酰胺</w:t>
            </w:r>
          </w:p>
        </w:tc>
      </w:tr>
      <w:tr w14:paraId="1430E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292" w:type="dxa"/>
            <w:vAlign w:val="center"/>
          </w:tcPr>
          <w:p w14:paraId="1EBF15F3">
            <w:pPr>
              <w:overflowPunct w:val="0"/>
              <w:topLinePunct/>
              <w:spacing w:line="240" w:lineRule="auto"/>
              <w:ind w:firstLine="0" w:firstLineChars="0"/>
              <w:jc w:val="center"/>
              <w:rPr>
                <w:kern w:val="2"/>
                <w:sz w:val="21"/>
                <w:szCs w:val="21"/>
                <w:lang w:eastAsia="zh-CN"/>
              </w:rPr>
            </w:pPr>
            <w:r>
              <w:rPr>
                <w:kern w:val="2"/>
                <w:sz w:val="21"/>
                <w:szCs w:val="21"/>
                <w:lang w:eastAsia="zh-CN"/>
              </w:rPr>
              <w:t>10#</w:t>
            </w:r>
          </w:p>
        </w:tc>
        <w:tc>
          <w:tcPr>
            <w:tcW w:w="2654" w:type="dxa"/>
            <w:vAlign w:val="center"/>
          </w:tcPr>
          <w:p w14:paraId="23B9D6F5">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聚苯乙烯</w:t>
            </w:r>
          </w:p>
        </w:tc>
        <w:tc>
          <w:tcPr>
            <w:tcW w:w="2685" w:type="dxa"/>
            <w:vAlign w:val="center"/>
          </w:tcPr>
          <w:p w14:paraId="3E566A18">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聚苯乙烯</w:t>
            </w:r>
          </w:p>
        </w:tc>
      </w:tr>
      <w:tr w14:paraId="01EEB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92" w:type="dxa"/>
            <w:vAlign w:val="center"/>
          </w:tcPr>
          <w:p w14:paraId="77AD7CB8">
            <w:pPr>
              <w:overflowPunct w:val="0"/>
              <w:topLinePunct/>
              <w:spacing w:line="240" w:lineRule="auto"/>
              <w:ind w:firstLine="0" w:firstLineChars="0"/>
              <w:jc w:val="center"/>
              <w:rPr>
                <w:kern w:val="2"/>
                <w:sz w:val="21"/>
                <w:szCs w:val="21"/>
                <w:lang w:eastAsia="zh-CN"/>
              </w:rPr>
            </w:pPr>
            <w:r>
              <w:rPr>
                <w:kern w:val="2"/>
                <w:sz w:val="21"/>
                <w:szCs w:val="21"/>
                <w:lang w:eastAsia="zh-CN"/>
              </w:rPr>
              <w:t>1</w:t>
            </w:r>
            <w:r>
              <w:rPr>
                <w:rFonts w:hint="eastAsia"/>
                <w:kern w:val="2"/>
                <w:sz w:val="21"/>
                <w:szCs w:val="21"/>
                <w:lang w:eastAsia="zh-CN"/>
              </w:rPr>
              <w:t>1</w:t>
            </w:r>
            <w:r>
              <w:rPr>
                <w:kern w:val="2"/>
                <w:sz w:val="21"/>
                <w:szCs w:val="21"/>
                <w:lang w:eastAsia="zh-CN"/>
              </w:rPr>
              <w:t>#</w:t>
            </w:r>
          </w:p>
        </w:tc>
        <w:tc>
          <w:tcPr>
            <w:tcW w:w="2654" w:type="dxa"/>
            <w:vAlign w:val="center"/>
          </w:tcPr>
          <w:p w14:paraId="559686B2">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丙烯腈-丁二烯-苯乙烯共聚物</w:t>
            </w:r>
          </w:p>
        </w:tc>
        <w:tc>
          <w:tcPr>
            <w:tcW w:w="2685" w:type="dxa"/>
            <w:vAlign w:val="center"/>
          </w:tcPr>
          <w:p w14:paraId="23189A93">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丙烯腈-丁二烯-苯乙烯共聚物</w:t>
            </w:r>
          </w:p>
        </w:tc>
      </w:tr>
      <w:tr w14:paraId="7FF4F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292" w:type="dxa"/>
            <w:vAlign w:val="center"/>
          </w:tcPr>
          <w:p w14:paraId="49A519F6">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1</w:t>
            </w:r>
            <w:r>
              <w:rPr>
                <w:kern w:val="2"/>
                <w:sz w:val="21"/>
                <w:szCs w:val="21"/>
                <w:lang w:eastAsia="zh-CN"/>
              </w:rPr>
              <w:t>2#</w:t>
            </w:r>
          </w:p>
        </w:tc>
        <w:tc>
          <w:tcPr>
            <w:tcW w:w="2654" w:type="dxa"/>
            <w:vAlign w:val="center"/>
          </w:tcPr>
          <w:p w14:paraId="5DE1BE6B">
            <w:pPr>
              <w:overflowPunct w:val="0"/>
              <w:topLinePunct/>
              <w:spacing w:line="240" w:lineRule="auto"/>
              <w:ind w:firstLine="0" w:firstLineChars="0"/>
              <w:jc w:val="center"/>
              <w:rPr>
                <w:kern w:val="2"/>
                <w:sz w:val="21"/>
                <w:szCs w:val="21"/>
                <w:lang w:eastAsia="zh-CN"/>
              </w:rPr>
            </w:pPr>
            <w:r>
              <w:rPr>
                <w:rFonts w:hint="eastAsia" w:cs="Times New Roman"/>
                <w:kern w:val="2"/>
                <w:sz w:val="21"/>
                <w:szCs w:val="21"/>
                <w:lang w:eastAsia="zh-CN"/>
              </w:rPr>
              <w:t>乙烯-乙酸乙</w:t>
            </w:r>
            <w:r>
              <w:rPr>
                <w:rFonts w:hint="eastAsia"/>
                <w:kern w:val="0"/>
                <w:sz w:val="21"/>
                <w:szCs w:val="21"/>
                <w:lang w:eastAsia="zh-CN"/>
              </w:rPr>
              <w:t>烯</w:t>
            </w:r>
            <w:r>
              <w:rPr>
                <w:rFonts w:hint="eastAsia" w:cs="Times New Roman"/>
                <w:kern w:val="2"/>
                <w:sz w:val="21"/>
                <w:szCs w:val="21"/>
                <w:lang w:eastAsia="zh-CN"/>
              </w:rPr>
              <w:t>酯共聚物</w:t>
            </w:r>
          </w:p>
        </w:tc>
        <w:tc>
          <w:tcPr>
            <w:tcW w:w="2685" w:type="dxa"/>
            <w:vAlign w:val="center"/>
          </w:tcPr>
          <w:p w14:paraId="61CFE79A">
            <w:pPr>
              <w:overflowPunct w:val="0"/>
              <w:topLinePunct/>
              <w:spacing w:line="240" w:lineRule="auto"/>
              <w:ind w:firstLine="0" w:firstLineChars="0"/>
              <w:jc w:val="center"/>
              <w:rPr>
                <w:kern w:val="2"/>
                <w:sz w:val="21"/>
                <w:szCs w:val="21"/>
                <w:lang w:eastAsia="zh-CN"/>
              </w:rPr>
            </w:pPr>
            <w:r>
              <w:rPr>
                <w:rFonts w:hint="eastAsia" w:cs="Times New Roman"/>
                <w:kern w:val="2"/>
                <w:sz w:val="21"/>
                <w:szCs w:val="21"/>
                <w:lang w:eastAsia="zh-CN"/>
              </w:rPr>
              <w:t>乙烯-乙酸乙</w:t>
            </w:r>
            <w:r>
              <w:rPr>
                <w:rFonts w:hint="eastAsia"/>
                <w:kern w:val="0"/>
                <w:sz w:val="21"/>
                <w:szCs w:val="21"/>
                <w:lang w:eastAsia="zh-CN"/>
              </w:rPr>
              <w:t>烯</w:t>
            </w:r>
            <w:r>
              <w:rPr>
                <w:rFonts w:hint="eastAsia" w:cs="Times New Roman"/>
                <w:kern w:val="2"/>
                <w:sz w:val="21"/>
                <w:szCs w:val="21"/>
                <w:lang w:eastAsia="zh-CN"/>
              </w:rPr>
              <w:t>酯共聚物</w:t>
            </w:r>
          </w:p>
        </w:tc>
      </w:tr>
    </w:tbl>
    <w:p w14:paraId="16EE990F">
      <w:pPr>
        <w:overflowPunct w:val="0"/>
        <w:topLinePunct/>
        <w:spacing w:before="120" w:beforeLines="50" w:after="120" w:afterLines="50"/>
        <w:ind w:firstLine="0" w:firstLineChars="0"/>
        <w:outlineLvl w:val="1"/>
        <w:rPr>
          <w:lang w:eastAsia="zh-CN"/>
        </w:rPr>
      </w:pPr>
      <w:bookmarkStart w:id="64" w:name="_Toc211857932"/>
      <w:r>
        <w:rPr>
          <w:lang w:eastAsia="zh-CN"/>
        </w:rPr>
        <w:t xml:space="preserve">3 </w:t>
      </w:r>
      <w:r>
        <w:rPr>
          <w:rFonts w:hint="eastAsia"/>
          <w:lang w:eastAsia="zh-CN"/>
        </w:rPr>
        <w:t>实验室内不同方法比对</w:t>
      </w:r>
      <w:bookmarkEnd w:id="64"/>
    </w:p>
    <w:p w14:paraId="5A728D9E">
      <w:pPr>
        <w:overflowPunct w:val="0"/>
        <w:topLinePunct/>
        <w:ind w:firstLine="480"/>
        <w:rPr>
          <w:lang w:eastAsia="zh-CN"/>
        </w:rPr>
      </w:pPr>
      <w:r>
        <w:rPr>
          <w:lang w:eastAsia="zh-CN"/>
        </w:rPr>
        <w:t>编制组</w:t>
      </w:r>
      <w:r>
        <w:rPr>
          <w:rFonts w:hint="eastAsia"/>
          <w:lang w:eastAsia="zh-CN"/>
        </w:rPr>
        <w:t>分别采用红外光谱法（F</w:t>
      </w:r>
      <w:r>
        <w:rPr>
          <w:lang w:eastAsia="zh-CN"/>
        </w:rPr>
        <w:t>TIR</w:t>
      </w:r>
      <w:r>
        <w:rPr>
          <w:rFonts w:hint="eastAsia"/>
          <w:lang w:eastAsia="zh-CN"/>
        </w:rPr>
        <w:t>）和裂解-气相色谱质谱联用法（Py-GC/MS）</w:t>
      </w:r>
      <w:r>
        <w:rPr>
          <w:lang w:eastAsia="zh-CN"/>
        </w:rPr>
        <w:t>对</w:t>
      </w:r>
      <w:r>
        <w:rPr>
          <w:rFonts w:hint="eastAsia"/>
          <w:lang w:eastAsia="zh-CN"/>
        </w:rPr>
        <w:t>编制组收集的选出12种不同的建筑塑料制品合成树脂样品</w:t>
      </w:r>
      <w:r>
        <w:rPr>
          <w:lang w:eastAsia="zh-CN"/>
        </w:rPr>
        <w:t>进行考察。</w:t>
      </w:r>
    </w:p>
    <w:p w14:paraId="77AFD6F0">
      <w:pPr>
        <w:overflowPunct w:val="0"/>
        <w:topLinePunct/>
        <w:ind w:firstLine="480"/>
        <w:rPr>
          <w:lang w:eastAsia="zh-CN"/>
        </w:rPr>
      </w:pPr>
      <w:r>
        <w:rPr>
          <w:rFonts w:hint="eastAsia"/>
          <w:lang w:eastAsia="zh-CN"/>
        </w:rPr>
        <w:t>结果表明，</w:t>
      </w:r>
      <w:r>
        <w:rPr>
          <w:lang w:eastAsia="zh-CN"/>
        </w:rPr>
        <w:t>12</w:t>
      </w:r>
      <w:r>
        <w:rPr>
          <w:rFonts w:hint="eastAsia"/>
          <w:lang w:eastAsia="zh-CN"/>
        </w:rPr>
        <w:t>个样品的红外光谱法（F</w:t>
      </w:r>
      <w:r>
        <w:rPr>
          <w:lang w:eastAsia="zh-CN"/>
        </w:rPr>
        <w:t>TIR</w:t>
      </w:r>
      <w:r>
        <w:rPr>
          <w:rFonts w:hint="eastAsia"/>
          <w:lang w:eastAsia="zh-CN"/>
        </w:rPr>
        <w:t>）和裂解-气相色谱质谱联用法（Py-GC/MS）结果相符，且与生产方提供的树脂类型完全一致，证明了该方法的准确性。</w:t>
      </w:r>
    </w:p>
    <w:p w14:paraId="06A5733F">
      <w:pPr>
        <w:overflowPunct w:val="0"/>
        <w:topLinePunct/>
        <w:ind w:firstLine="480"/>
        <w:jc w:val="center"/>
        <w:rPr>
          <w:lang w:eastAsia="zh-CN"/>
        </w:rPr>
      </w:pPr>
      <w:r>
        <w:rPr>
          <w:rFonts w:hint="eastAsia"/>
          <w:lang w:eastAsia="zh-CN"/>
        </w:rPr>
        <w:t>表3</w:t>
      </w:r>
      <w:r>
        <w:rPr>
          <w:lang w:eastAsia="zh-CN"/>
        </w:rPr>
        <w:t xml:space="preserve"> </w:t>
      </w:r>
      <w:r>
        <w:rPr>
          <w:rFonts w:hint="eastAsia"/>
          <w:lang w:eastAsia="zh-CN"/>
        </w:rPr>
        <w:t>12种样品F</w:t>
      </w:r>
      <w:r>
        <w:rPr>
          <w:lang w:eastAsia="zh-CN"/>
        </w:rPr>
        <w:t>TIR</w:t>
      </w:r>
      <w:r>
        <w:rPr>
          <w:rFonts w:hint="eastAsia"/>
          <w:lang w:eastAsia="zh-CN"/>
        </w:rPr>
        <w:t>法和Py-GC/MS法树脂鉴定结果</w:t>
      </w:r>
    </w:p>
    <w:tbl>
      <w:tblPr>
        <w:tblStyle w:val="21"/>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2"/>
        <w:gridCol w:w="2654"/>
        <w:gridCol w:w="2577"/>
        <w:gridCol w:w="2685"/>
      </w:tblGrid>
      <w:tr w14:paraId="681DF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0" w:hRule="atLeast"/>
        </w:trPr>
        <w:tc>
          <w:tcPr>
            <w:tcW w:w="1292" w:type="dxa"/>
            <w:shd w:val="clear" w:color="auto" w:fill="D8D8D8" w:themeFill="background1" w:themeFillShade="D9"/>
            <w:vAlign w:val="center"/>
          </w:tcPr>
          <w:p w14:paraId="18F225E0">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样品</w:t>
            </w:r>
          </w:p>
        </w:tc>
        <w:tc>
          <w:tcPr>
            <w:tcW w:w="2654" w:type="dxa"/>
            <w:shd w:val="clear" w:color="auto" w:fill="D8D8D8" w:themeFill="background1" w:themeFillShade="D9"/>
            <w:vAlign w:val="center"/>
          </w:tcPr>
          <w:p w14:paraId="1CA3C6A3">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红外光谱法</w:t>
            </w:r>
          </w:p>
          <w:p w14:paraId="520820E6">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鉴别结论</w:t>
            </w:r>
          </w:p>
        </w:tc>
        <w:tc>
          <w:tcPr>
            <w:tcW w:w="2577" w:type="dxa"/>
            <w:shd w:val="clear" w:color="auto" w:fill="D8D8D8" w:themeFill="background1" w:themeFillShade="D9"/>
            <w:vAlign w:val="center"/>
          </w:tcPr>
          <w:p w14:paraId="1CE2EE8D">
            <w:pPr>
              <w:overflowPunct w:val="0"/>
              <w:topLinePunct/>
              <w:spacing w:line="240" w:lineRule="auto"/>
              <w:ind w:firstLine="0" w:firstLineChars="0"/>
              <w:jc w:val="center"/>
              <w:rPr>
                <w:kern w:val="2"/>
                <w:sz w:val="21"/>
                <w:szCs w:val="21"/>
                <w:lang w:eastAsia="zh-CN"/>
              </w:rPr>
            </w:pPr>
            <w:r>
              <w:rPr>
                <w:kern w:val="2"/>
                <w:sz w:val="21"/>
                <w:szCs w:val="21"/>
                <w:lang w:eastAsia="zh-CN"/>
              </w:rPr>
              <w:t>Py-GC/MS</w:t>
            </w:r>
            <w:r>
              <w:rPr>
                <w:rFonts w:hint="eastAsia"/>
                <w:kern w:val="2"/>
                <w:sz w:val="21"/>
                <w:szCs w:val="21"/>
                <w:lang w:eastAsia="zh-CN"/>
              </w:rPr>
              <w:t>法</w:t>
            </w:r>
          </w:p>
          <w:p w14:paraId="48E64647">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鉴定结论</w:t>
            </w:r>
          </w:p>
        </w:tc>
        <w:tc>
          <w:tcPr>
            <w:tcW w:w="2685" w:type="dxa"/>
            <w:shd w:val="clear" w:color="auto" w:fill="D8D8D8" w:themeFill="background1" w:themeFillShade="D9"/>
            <w:vAlign w:val="center"/>
          </w:tcPr>
          <w:p w14:paraId="4522EE54">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生产方提供信息</w:t>
            </w:r>
          </w:p>
        </w:tc>
      </w:tr>
      <w:tr w14:paraId="1DC4B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292" w:type="dxa"/>
            <w:vAlign w:val="center"/>
          </w:tcPr>
          <w:p w14:paraId="5FFB0D22">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1</w:t>
            </w:r>
            <w:r>
              <w:rPr>
                <w:kern w:val="2"/>
                <w:sz w:val="21"/>
                <w:szCs w:val="21"/>
                <w:lang w:eastAsia="zh-CN"/>
              </w:rPr>
              <w:t>#</w:t>
            </w:r>
          </w:p>
        </w:tc>
        <w:tc>
          <w:tcPr>
            <w:tcW w:w="2654" w:type="dxa"/>
            <w:vAlign w:val="center"/>
          </w:tcPr>
          <w:p w14:paraId="3D33AD10">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不饱和树脂</w:t>
            </w:r>
          </w:p>
        </w:tc>
        <w:tc>
          <w:tcPr>
            <w:tcW w:w="2577" w:type="dxa"/>
            <w:vAlign w:val="center"/>
          </w:tcPr>
          <w:p w14:paraId="0283253E">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不饱和树脂</w:t>
            </w:r>
          </w:p>
        </w:tc>
        <w:tc>
          <w:tcPr>
            <w:tcW w:w="2685" w:type="dxa"/>
            <w:vAlign w:val="center"/>
          </w:tcPr>
          <w:p w14:paraId="7C387A9C">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不饱和树脂</w:t>
            </w:r>
          </w:p>
        </w:tc>
      </w:tr>
      <w:tr w14:paraId="4AF87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292" w:type="dxa"/>
            <w:vAlign w:val="center"/>
          </w:tcPr>
          <w:p w14:paraId="1DB8E7EF">
            <w:pPr>
              <w:overflowPunct w:val="0"/>
              <w:topLinePunct/>
              <w:spacing w:line="240" w:lineRule="auto"/>
              <w:ind w:firstLine="0" w:firstLineChars="0"/>
              <w:jc w:val="center"/>
              <w:rPr>
                <w:kern w:val="2"/>
                <w:sz w:val="21"/>
                <w:szCs w:val="21"/>
                <w:lang w:eastAsia="zh-CN"/>
              </w:rPr>
            </w:pPr>
            <w:r>
              <w:rPr>
                <w:kern w:val="2"/>
                <w:sz w:val="21"/>
                <w:szCs w:val="21"/>
                <w:lang w:eastAsia="zh-CN"/>
              </w:rPr>
              <w:t>2#</w:t>
            </w:r>
          </w:p>
        </w:tc>
        <w:tc>
          <w:tcPr>
            <w:tcW w:w="2654" w:type="dxa"/>
            <w:vAlign w:val="center"/>
          </w:tcPr>
          <w:p w14:paraId="59A66E53">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聚甲基丙烯酸甲酯</w:t>
            </w:r>
          </w:p>
        </w:tc>
        <w:tc>
          <w:tcPr>
            <w:tcW w:w="2577" w:type="dxa"/>
            <w:vAlign w:val="center"/>
          </w:tcPr>
          <w:p w14:paraId="60E35053">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聚甲基丙烯酸甲酯</w:t>
            </w:r>
          </w:p>
        </w:tc>
        <w:tc>
          <w:tcPr>
            <w:tcW w:w="2685" w:type="dxa"/>
            <w:vAlign w:val="center"/>
          </w:tcPr>
          <w:p w14:paraId="0B8D68C1">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聚甲基丙烯酸甲酯</w:t>
            </w:r>
          </w:p>
        </w:tc>
      </w:tr>
      <w:tr w14:paraId="05AD1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292" w:type="dxa"/>
            <w:vAlign w:val="center"/>
          </w:tcPr>
          <w:p w14:paraId="39F237C4">
            <w:pPr>
              <w:overflowPunct w:val="0"/>
              <w:topLinePunct/>
              <w:spacing w:line="240" w:lineRule="auto"/>
              <w:ind w:firstLine="0" w:firstLineChars="0"/>
              <w:jc w:val="center"/>
              <w:rPr>
                <w:kern w:val="2"/>
                <w:sz w:val="21"/>
                <w:szCs w:val="21"/>
                <w:lang w:eastAsia="zh-CN"/>
              </w:rPr>
            </w:pPr>
            <w:r>
              <w:rPr>
                <w:kern w:val="2"/>
                <w:sz w:val="21"/>
                <w:szCs w:val="21"/>
                <w:lang w:eastAsia="zh-CN"/>
              </w:rPr>
              <w:t>3#</w:t>
            </w:r>
          </w:p>
        </w:tc>
        <w:tc>
          <w:tcPr>
            <w:tcW w:w="2654" w:type="dxa"/>
            <w:vAlign w:val="center"/>
          </w:tcPr>
          <w:p w14:paraId="1C522582">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环氧树脂</w:t>
            </w:r>
          </w:p>
        </w:tc>
        <w:tc>
          <w:tcPr>
            <w:tcW w:w="2577" w:type="dxa"/>
            <w:vAlign w:val="center"/>
          </w:tcPr>
          <w:p w14:paraId="1675B4C3">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环氧树脂</w:t>
            </w:r>
          </w:p>
        </w:tc>
        <w:tc>
          <w:tcPr>
            <w:tcW w:w="2685" w:type="dxa"/>
            <w:vAlign w:val="center"/>
          </w:tcPr>
          <w:p w14:paraId="3CA449B9">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环氧树脂</w:t>
            </w:r>
          </w:p>
        </w:tc>
      </w:tr>
      <w:tr w14:paraId="1013A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1292" w:type="dxa"/>
            <w:vAlign w:val="center"/>
          </w:tcPr>
          <w:p w14:paraId="5B5E0317">
            <w:pPr>
              <w:overflowPunct w:val="0"/>
              <w:topLinePunct/>
              <w:spacing w:line="240" w:lineRule="auto"/>
              <w:ind w:firstLine="0" w:firstLineChars="0"/>
              <w:jc w:val="center"/>
              <w:rPr>
                <w:kern w:val="2"/>
                <w:sz w:val="21"/>
                <w:szCs w:val="21"/>
                <w:lang w:eastAsia="zh-CN"/>
              </w:rPr>
            </w:pPr>
            <w:r>
              <w:rPr>
                <w:kern w:val="2"/>
                <w:sz w:val="21"/>
                <w:szCs w:val="21"/>
                <w:lang w:eastAsia="zh-CN"/>
              </w:rPr>
              <w:t>4#</w:t>
            </w:r>
          </w:p>
        </w:tc>
        <w:tc>
          <w:tcPr>
            <w:tcW w:w="2654" w:type="dxa"/>
            <w:vAlign w:val="center"/>
          </w:tcPr>
          <w:p w14:paraId="40A98357">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聚乙烯</w:t>
            </w:r>
          </w:p>
        </w:tc>
        <w:tc>
          <w:tcPr>
            <w:tcW w:w="2577" w:type="dxa"/>
            <w:vAlign w:val="center"/>
          </w:tcPr>
          <w:p w14:paraId="42206F5B">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聚乙烯</w:t>
            </w:r>
          </w:p>
        </w:tc>
        <w:tc>
          <w:tcPr>
            <w:tcW w:w="2685" w:type="dxa"/>
            <w:vAlign w:val="center"/>
          </w:tcPr>
          <w:p w14:paraId="715CCC39">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聚乙烯</w:t>
            </w:r>
          </w:p>
        </w:tc>
      </w:tr>
      <w:tr w14:paraId="68F44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292" w:type="dxa"/>
            <w:vAlign w:val="center"/>
          </w:tcPr>
          <w:p w14:paraId="5C5051E4">
            <w:pPr>
              <w:overflowPunct w:val="0"/>
              <w:topLinePunct/>
              <w:spacing w:line="240" w:lineRule="auto"/>
              <w:ind w:firstLine="0" w:firstLineChars="0"/>
              <w:jc w:val="center"/>
              <w:rPr>
                <w:kern w:val="2"/>
                <w:sz w:val="21"/>
                <w:szCs w:val="21"/>
                <w:lang w:eastAsia="zh-CN"/>
              </w:rPr>
            </w:pPr>
            <w:r>
              <w:rPr>
                <w:kern w:val="2"/>
                <w:sz w:val="21"/>
                <w:szCs w:val="21"/>
                <w:lang w:eastAsia="zh-CN"/>
              </w:rPr>
              <w:t>5#</w:t>
            </w:r>
          </w:p>
        </w:tc>
        <w:tc>
          <w:tcPr>
            <w:tcW w:w="2654" w:type="dxa"/>
            <w:vAlign w:val="center"/>
          </w:tcPr>
          <w:p w14:paraId="10628108">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聚丙烯</w:t>
            </w:r>
          </w:p>
        </w:tc>
        <w:tc>
          <w:tcPr>
            <w:tcW w:w="2577" w:type="dxa"/>
            <w:vAlign w:val="center"/>
          </w:tcPr>
          <w:p w14:paraId="2DFCC448">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聚丙烯</w:t>
            </w:r>
          </w:p>
        </w:tc>
        <w:tc>
          <w:tcPr>
            <w:tcW w:w="2685" w:type="dxa"/>
            <w:vAlign w:val="center"/>
          </w:tcPr>
          <w:p w14:paraId="5502D6B8">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聚丙烯</w:t>
            </w:r>
          </w:p>
        </w:tc>
      </w:tr>
      <w:tr w14:paraId="75FCD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292" w:type="dxa"/>
            <w:vAlign w:val="center"/>
          </w:tcPr>
          <w:p w14:paraId="7E1B5EF2">
            <w:pPr>
              <w:overflowPunct w:val="0"/>
              <w:topLinePunct/>
              <w:spacing w:line="240" w:lineRule="auto"/>
              <w:ind w:firstLine="0" w:firstLineChars="0"/>
              <w:jc w:val="center"/>
              <w:rPr>
                <w:kern w:val="2"/>
                <w:sz w:val="21"/>
                <w:szCs w:val="21"/>
                <w:lang w:eastAsia="zh-CN"/>
              </w:rPr>
            </w:pPr>
            <w:r>
              <w:rPr>
                <w:kern w:val="2"/>
                <w:sz w:val="21"/>
                <w:szCs w:val="21"/>
                <w:lang w:eastAsia="zh-CN"/>
              </w:rPr>
              <w:t>6#</w:t>
            </w:r>
          </w:p>
        </w:tc>
        <w:tc>
          <w:tcPr>
            <w:tcW w:w="2654" w:type="dxa"/>
            <w:vAlign w:val="center"/>
          </w:tcPr>
          <w:p w14:paraId="7B165821">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聚氯乙烯</w:t>
            </w:r>
          </w:p>
        </w:tc>
        <w:tc>
          <w:tcPr>
            <w:tcW w:w="2577" w:type="dxa"/>
            <w:vAlign w:val="center"/>
          </w:tcPr>
          <w:p w14:paraId="233FF1AF">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聚氯乙烯</w:t>
            </w:r>
          </w:p>
        </w:tc>
        <w:tc>
          <w:tcPr>
            <w:tcW w:w="2685" w:type="dxa"/>
            <w:vAlign w:val="center"/>
          </w:tcPr>
          <w:p w14:paraId="67279E9D">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聚氯乙烯</w:t>
            </w:r>
          </w:p>
        </w:tc>
      </w:tr>
      <w:tr w14:paraId="27BA8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1292" w:type="dxa"/>
            <w:vAlign w:val="center"/>
          </w:tcPr>
          <w:p w14:paraId="7FDBD4B9">
            <w:pPr>
              <w:overflowPunct w:val="0"/>
              <w:topLinePunct/>
              <w:spacing w:line="240" w:lineRule="auto"/>
              <w:ind w:firstLine="0" w:firstLineChars="0"/>
              <w:jc w:val="center"/>
              <w:rPr>
                <w:kern w:val="2"/>
                <w:sz w:val="21"/>
                <w:szCs w:val="21"/>
                <w:lang w:eastAsia="zh-CN"/>
              </w:rPr>
            </w:pPr>
            <w:r>
              <w:rPr>
                <w:kern w:val="2"/>
                <w:sz w:val="21"/>
                <w:szCs w:val="21"/>
                <w:lang w:eastAsia="zh-CN"/>
              </w:rPr>
              <w:t>7#</w:t>
            </w:r>
          </w:p>
        </w:tc>
        <w:tc>
          <w:tcPr>
            <w:tcW w:w="2654" w:type="dxa"/>
            <w:vAlign w:val="center"/>
          </w:tcPr>
          <w:p w14:paraId="2F7CA8E1">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聚碳酸酯</w:t>
            </w:r>
          </w:p>
        </w:tc>
        <w:tc>
          <w:tcPr>
            <w:tcW w:w="2577" w:type="dxa"/>
            <w:vAlign w:val="center"/>
          </w:tcPr>
          <w:p w14:paraId="5C679A53">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聚碳酸酯</w:t>
            </w:r>
          </w:p>
        </w:tc>
        <w:tc>
          <w:tcPr>
            <w:tcW w:w="2685" w:type="dxa"/>
            <w:vAlign w:val="center"/>
          </w:tcPr>
          <w:p w14:paraId="0D985326">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聚碳酸酯</w:t>
            </w:r>
          </w:p>
        </w:tc>
      </w:tr>
      <w:tr w14:paraId="53713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292" w:type="dxa"/>
            <w:vAlign w:val="center"/>
          </w:tcPr>
          <w:p w14:paraId="3A25FD85">
            <w:pPr>
              <w:overflowPunct w:val="0"/>
              <w:topLinePunct/>
              <w:spacing w:line="240" w:lineRule="auto"/>
              <w:ind w:firstLine="0" w:firstLineChars="0"/>
              <w:jc w:val="center"/>
              <w:rPr>
                <w:kern w:val="2"/>
                <w:sz w:val="21"/>
                <w:szCs w:val="21"/>
                <w:lang w:eastAsia="zh-CN"/>
              </w:rPr>
            </w:pPr>
            <w:r>
              <w:rPr>
                <w:kern w:val="2"/>
                <w:sz w:val="21"/>
                <w:szCs w:val="21"/>
                <w:lang w:eastAsia="zh-CN"/>
              </w:rPr>
              <w:t>8#</w:t>
            </w:r>
          </w:p>
        </w:tc>
        <w:tc>
          <w:tcPr>
            <w:tcW w:w="2654" w:type="dxa"/>
            <w:vAlign w:val="center"/>
          </w:tcPr>
          <w:p w14:paraId="5E7BA637">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聚对苯二甲酸乙二醇</w:t>
            </w:r>
          </w:p>
        </w:tc>
        <w:tc>
          <w:tcPr>
            <w:tcW w:w="2577" w:type="dxa"/>
            <w:vAlign w:val="center"/>
          </w:tcPr>
          <w:p w14:paraId="48A47016">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聚对苯二甲酸乙二醇</w:t>
            </w:r>
          </w:p>
        </w:tc>
        <w:tc>
          <w:tcPr>
            <w:tcW w:w="2685" w:type="dxa"/>
            <w:vAlign w:val="center"/>
          </w:tcPr>
          <w:p w14:paraId="676CC93E">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聚对苯二甲酸乙二醇</w:t>
            </w:r>
          </w:p>
        </w:tc>
      </w:tr>
      <w:tr w14:paraId="413EB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292" w:type="dxa"/>
            <w:vAlign w:val="center"/>
          </w:tcPr>
          <w:p w14:paraId="38DC347B">
            <w:pPr>
              <w:overflowPunct w:val="0"/>
              <w:topLinePunct/>
              <w:spacing w:line="240" w:lineRule="auto"/>
              <w:ind w:firstLine="0" w:firstLineChars="0"/>
              <w:jc w:val="center"/>
              <w:rPr>
                <w:kern w:val="2"/>
                <w:sz w:val="21"/>
                <w:szCs w:val="21"/>
                <w:lang w:eastAsia="zh-CN"/>
              </w:rPr>
            </w:pPr>
            <w:r>
              <w:rPr>
                <w:kern w:val="2"/>
                <w:sz w:val="21"/>
                <w:szCs w:val="21"/>
                <w:lang w:eastAsia="zh-CN"/>
              </w:rPr>
              <w:t>9#</w:t>
            </w:r>
          </w:p>
        </w:tc>
        <w:tc>
          <w:tcPr>
            <w:tcW w:w="2654" w:type="dxa"/>
            <w:vAlign w:val="center"/>
          </w:tcPr>
          <w:p w14:paraId="72D62EB1">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聚酰胺</w:t>
            </w:r>
          </w:p>
        </w:tc>
        <w:tc>
          <w:tcPr>
            <w:tcW w:w="2577" w:type="dxa"/>
            <w:vAlign w:val="center"/>
          </w:tcPr>
          <w:p w14:paraId="1DCA3E9A">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聚酰胺</w:t>
            </w:r>
          </w:p>
        </w:tc>
        <w:tc>
          <w:tcPr>
            <w:tcW w:w="2685" w:type="dxa"/>
            <w:vAlign w:val="center"/>
          </w:tcPr>
          <w:p w14:paraId="72D06EFC">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聚酰胺</w:t>
            </w:r>
          </w:p>
        </w:tc>
      </w:tr>
      <w:tr w14:paraId="5BC32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292" w:type="dxa"/>
            <w:vAlign w:val="center"/>
          </w:tcPr>
          <w:p w14:paraId="1F5761D7">
            <w:pPr>
              <w:overflowPunct w:val="0"/>
              <w:topLinePunct/>
              <w:spacing w:line="240" w:lineRule="auto"/>
              <w:ind w:firstLine="0" w:firstLineChars="0"/>
              <w:jc w:val="center"/>
              <w:rPr>
                <w:kern w:val="2"/>
                <w:sz w:val="21"/>
                <w:szCs w:val="21"/>
                <w:lang w:eastAsia="zh-CN"/>
              </w:rPr>
            </w:pPr>
            <w:r>
              <w:rPr>
                <w:kern w:val="2"/>
                <w:sz w:val="21"/>
                <w:szCs w:val="21"/>
                <w:lang w:eastAsia="zh-CN"/>
              </w:rPr>
              <w:t>10#</w:t>
            </w:r>
          </w:p>
        </w:tc>
        <w:tc>
          <w:tcPr>
            <w:tcW w:w="2654" w:type="dxa"/>
            <w:vAlign w:val="center"/>
          </w:tcPr>
          <w:p w14:paraId="7651394A">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聚苯乙烯</w:t>
            </w:r>
          </w:p>
        </w:tc>
        <w:tc>
          <w:tcPr>
            <w:tcW w:w="2577" w:type="dxa"/>
            <w:vAlign w:val="center"/>
          </w:tcPr>
          <w:p w14:paraId="250FB0F7">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聚苯乙烯</w:t>
            </w:r>
          </w:p>
        </w:tc>
        <w:tc>
          <w:tcPr>
            <w:tcW w:w="2685" w:type="dxa"/>
            <w:vAlign w:val="center"/>
          </w:tcPr>
          <w:p w14:paraId="6604A88E">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聚苯乙烯</w:t>
            </w:r>
          </w:p>
        </w:tc>
      </w:tr>
      <w:tr w14:paraId="2C23C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1292" w:type="dxa"/>
            <w:vAlign w:val="center"/>
          </w:tcPr>
          <w:p w14:paraId="696C6884">
            <w:pPr>
              <w:overflowPunct w:val="0"/>
              <w:topLinePunct/>
              <w:spacing w:line="240" w:lineRule="auto"/>
              <w:ind w:firstLine="0" w:firstLineChars="0"/>
              <w:jc w:val="center"/>
              <w:rPr>
                <w:kern w:val="2"/>
                <w:sz w:val="21"/>
                <w:szCs w:val="21"/>
                <w:lang w:eastAsia="zh-CN"/>
              </w:rPr>
            </w:pPr>
            <w:r>
              <w:rPr>
                <w:kern w:val="2"/>
                <w:sz w:val="21"/>
                <w:szCs w:val="21"/>
                <w:lang w:eastAsia="zh-CN"/>
              </w:rPr>
              <w:t>1</w:t>
            </w:r>
            <w:r>
              <w:rPr>
                <w:rFonts w:hint="eastAsia"/>
                <w:kern w:val="2"/>
                <w:sz w:val="21"/>
                <w:szCs w:val="21"/>
                <w:lang w:eastAsia="zh-CN"/>
              </w:rPr>
              <w:t>1</w:t>
            </w:r>
            <w:r>
              <w:rPr>
                <w:kern w:val="2"/>
                <w:sz w:val="21"/>
                <w:szCs w:val="21"/>
                <w:lang w:eastAsia="zh-CN"/>
              </w:rPr>
              <w:t>#</w:t>
            </w:r>
          </w:p>
        </w:tc>
        <w:tc>
          <w:tcPr>
            <w:tcW w:w="2654" w:type="dxa"/>
            <w:vAlign w:val="center"/>
          </w:tcPr>
          <w:p w14:paraId="7EF28B48">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丙烯腈-丁二烯-苯乙烯共聚物</w:t>
            </w:r>
          </w:p>
        </w:tc>
        <w:tc>
          <w:tcPr>
            <w:tcW w:w="2577" w:type="dxa"/>
            <w:vAlign w:val="center"/>
          </w:tcPr>
          <w:p w14:paraId="39D6489C">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丙烯腈-丁二烯-苯乙烯共聚物</w:t>
            </w:r>
          </w:p>
        </w:tc>
        <w:tc>
          <w:tcPr>
            <w:tcW w:w="2685" w:type="dxa"/>
            <w:vAlign w:val="center"/>
          </w:tcPr>
          <w:p w14:paraId="6CAC6176">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丙烯腈-丁二烯-苯乙烯共聚物</w:t>
            </w:r>
          </w:p>
        </w:tc>
      </w:tr>
      <w:tr w14:paraId="0C2C6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292" w:type="dxa"/>
            <w:vAlign w:val="center"/>
          </w:tcPr>
          <w:p w14:paraId="74CBD242">
            <w:pPr>
              <w:overflowPunct w:val="0"/>
              <w:topLinePunct/>
              <w:spacing w:line="240" w:lineRule="auto"/>
              <w:ind w:firstLine="0" w:firstLineChars="0"/>
              <w:jc w:val="center"/>
              <w:rPr>
                <w:kern w:val="2"/>
                <w:sz w:val="21"/>
                <w:szCs w:val="21"/>
                <w:lang w:eastAsia="zh-CN"/>
              </w:rPr>
            </w:pPr>
            <w:r>
              <w:rPr>
                <w:rFonts w:hint="eastAsia"/>
                <w:kern w:val="2"/>
                <w:sz w:val="21"/>
                <w:szCs w:val="21"/>
                <w:lang w:eastAsia="zh-CN"/>
              </w:rPr>
              <w:t>1</w:t>
            </w:r>
            <w:r>
              <w:rPr>
                <w:kern w:val="2"/>
                <w:sz w:val="21"/>
                <w:szCs w:val="21"/>
                <w:lang w:eastAsia="zh-CN"/>
              </w:rPr>
              <w:t>2#</w:t>
            </w:r>
          </w:p>
        </w:tc>
        <w:tc>
          <w:tcPr>
            <w:tcW w:w="2654" w:type="dxa"/>
            <w:vAlign w:val="center"/>
          </w:tcPr>
          <w:p w14:paraId="4A4E1D52">
            <w:pPr>
              <w:overflowPunct w:val="0"/>
              <w:topLinePunct/>
              <w:spacing w:line="240" w:lineRule="auto"/>
              <w:ind w:firstLine="0" w:firstLineChars="0"/>
              <w:jc w:val="center"/>
              <w:rPr>
                <w:kern w:val="2"/>
                <w:sz w:val="21"/>
                <w:szCs w:val="21"/>
                <w:lang w:eastAsia="zh-CN"/>
              </w:rPr>
            </w:pPr>
            <w:r>
              <w:rPr>
                <w:rFonts w:hint="eastAsia" w:cs="Times New Roman"/>
                <w:kern w:val="2"/>
                <w:sz w:val="21"/>
                <w:szCs w:val="21"/>
                <w:lang w:eastAsia="zh-CN"/>
              </w:rPr>
              <w:t>乙烯-乙酸乙</w:t>
            </w:r>
            <w:r>
              <w:rPr>
                <w:rFonts w:hint="eastAsia"/>
                <w:kern w:val="0"/>
                <w:sz w:val="21"/>
                <w:szCs w:val="21"/>
                <w:lang w:eastAsia="zh-CN"/>
              </w:rPr>
              <w:t>烯</w:t>
            </w:r>
            <w:r>
              <w:rPr>
                <w:rFonts w:hint="eastAsia" w:cs="Times New Roman"/>
                <w:kern w:val="2"/>
                <w:sz w:val="21"/>
                <w:szCs w:val="21"/>
                <w:lang w:eastAsia="zh-CN"/>
              </w:rPr>
              <w:t>酯共聚物</w:t>
            </w:r>
          </w:p>
        </w:tc>
        <w:tc>
          <w:tcPr>
            <w:tcW w:w="2577" w:type="dxa"/>
            <w:vAlign w:val="center"/>
          </w:tcPr>
          <w:p w14:paraId="31C7A9A2">
            <w:pPr>
              <w:overflowPunct w:val="0"/>
              <w:topLinePunct/>
              <w:spacing w:line="240" w:lineRule="auto"/>
              <w:ind w:firstLine="0" w:firstLineChars="0"/>
              <w:jc w:val="center"/>
              <w:rPr>
                <w:kern w:val="2"/>
                <w:sz w:val="21"/>
                <w:szCs w:val="21"/>
                <w:lang w:eastAsia="zh-CN"/>
              </w:rPr>
            </w:pPr>
            <w:r>
              <w:rPr>
                <w:rFonts w:hint="eastAsia" w:cs="Times New Roman"/>
                <w:kern w:val="2"/>
                <w:sz w:val="21"/>
                <w:szCs w:val="21"/>
                <w:lang w:eastAsia="zh-CN"/>
              </w:rPr>
              <w:t>乙烯-乙酸乙</w:t>
            </w:r>
            <w:r>
              <w:rPr>
                <w:rFonts w:hint="eastAsia"/>
                <w:kern w:val="0"/>
                <w:sz w:val="21"/>
                <w:szCs w:val="21"/>
                <w:lang w:eastAsia="zh-CN"/>
              </w:rPr>
              <w:t>烯</w:t>
            </w:r>
            <w:r>
              <w:rPr>
                <w:rFonts w:hint="eastAsia" w:cs="Times New Roman"/>
                <w:kern w:val="2"/>
                <w:sz w:val="21"/>
                <w:szCs w:val="21"/>
                <w:lang w:eastAsia="zh-CN"/>
              </w:rPr>
              <w:t>酯共聚物</w:t>
            </w:r>
          </w:p>
        </w:tc>
        <w:tc>
          <w:tcPr>
            <w:tcW w:w="2685" w:type="dxa"/>
            <w:vAlign w:val="center"/>
          </w:tcPr>
          <w:p w14:paraId="53C37355">
            <w:pPr>
              <w:overflowPunct w:val="0"/>
              <w:topLinePunct/>
              <w:spacing w:line="240" w:lineRule="auto"/>
              <w:ind w:firstLine="0" w:firstLineChars="0"/>
              <w:jc w:val="center"/>
              <w:rPr>
                <w:kern w:val="2"/>
                <w:sz w:val="21"/>
                <w:szCs w:val="21"/>
                <w:lang w:eastAsia="zh-CN"/>
              </w:rPr>
            </w:pPr>
            <w:r>
              <w:rPr>
                <w:rFonts w:hint="eastAsia" w:cs="Times New Roman"/>
                <w:kern w:val="2"/>
                <w:sz w:val="21"/>
                <w:szCs w:val="21"/>
                <w:lang w:eastAsia="zh-CN"/>
              </w:rPr>
              <w:t>乙烯-乙酸乙</w:t>
            </w:r>
            <w:r>
              <w:rPr>
                <w:rFonts w:hint="eastAsia"/>
                <w:kern w:val="0"/>
                <w:sz w:val="21"/>
                <w:szCs w:val="21"/>
                <w:lang w:eastAsia="zh-CN"/>
              </w:rPr>
              <w:t>烯</w:t>
            </w:r>
            <w:r>
              <w:rPr>
                <w:rFonts w:hint="eastAsia" w:cs="Times New Roman"/>
                <w:kern w:val="2"/>
                <w:sz w:val="21"/>
                <w:szCs w:val="21"/>
                <w:lang w:eastAsia="zh-CN"/>
              </w:rPr>
              <w:t>酯共聚物</w:t>
            </w:r>
          </w:p>
        </w:tc>
      </w:tr>
    </w:tbl>
    <w:p w14:paraId="59ADBBC3">
      <w:pPr>
        <w:overflowPunct w:val="0"/>
        <w:topLinePunct/>
        <w:spacing w:before="120" w:beforeLines="50" w:after="120" w:afterLines="50"/>
        <w:ind w:firstLine="0" w:firstLineChars="0"/>
        <w:outlineLvl w:val="1"/>
        <w:rPr>
          <w:lang w:eastAsia="zh-CN"/>
        </w:rPr>
      </w:pPr>
      <w:bookmarkStart w:id="65" w:name="_Toc211857933"/>
      <w:r>
        <w:rPr>
          <w:lang w:eastAsia="zh-CN"/>
        </w:rPr>
        <w:t xml:space="preserve">4 </w:t>
      </w:r>
      <w:r>
        <w:rPr>
          <w:rFonts w:hint="eastAsia"/>
          <w:lang w:eastAsia="zh-CN"/>
        </w:rPr>
        <w:t>实验室间比对</w:t>
      </w:r>
      <w:bookmarkEnd w:id="65"/>
    </w:p>
    <w:p w14:paraId="79090EB7">
      <w:pPr>
        <w:overflowPunct w:val="0"/>
        <w:topLinePunct/>
        <w:ind w:firstLine="480"/>
        <w:rPr>
          <w:lang w:eastAsia="zh-CN"/>
        </w:rPr>
      </w:pPr>
      <w:r>
        <w:rPr>
          <w:rFonts w:hint="eastAsia"/>
          <w:lang w:eastAsia="zh-CN"/>
        </w:rPr>
        <w:t>主编单位联合实验室A和实验室</w:t>
      </w:r>
      <w:r>
        <w:rPr>
          <w:lang w:eastAsia="zh-CN"/>
        </w:rPr>
        <w:t>B</w:t>
      </w:r>
      <w:r>
        <w:rPr>
          <w:rFonts w:hint="eastAsia"/>
          <w:lang w:eastAsia="zh-CN"/>
        </w:rPr>
        <w:t>，</w:t>
      </w:r>
      <w:r>
        <w:rPr>
          <w:lang w:eastAsia="zh-CN"/>
        </w:rPr>
        <w:t>针对3</w:t>
      </w:r>
      <w:r>
        <w:rPr>
          <w:rFonts w:hint="eastAsia"/>
          <w:lang w:eastAsia="zh-CN"/>
        </w:rPr>
        <w:t>份样品，</w:t>
      </w:r>
      <w:r>
        <w:rPr>
          <w:lang w:eastAsia="zh-CN"/>
        </w:rPr>
        <w:t>共同按照本标准方法进行了实验室间比对实验，结果如</w:t>
      </w:r>
      <w:r>
        <w:rPr>
          <w:rFonts w:hint="eastAsia" w:cs="Times New Roman"/>
          <w:szCs w:val="21"/>
          <w:lang w:eastAsia="zh-CN"/>
        </w:rPr>
        <w:t>附</w:t>
      </w:r>
      <w:r>
        <w:rPr>
          <w:rFonts w:cs="Times New Roman"/>
          <w:szCs w:val="21"/>
          <w:lang w:eastAsia="zh-CN"/>
        </w:rPr>
        <w:t>表4</w:t>
      </w:r>
      <w:r>
        <w:rPr>
          <w:rFonts w:hint="eastAsia"/>
          <w:lang w:eastAsia="zh-CN"/>
        </w:rPr>
        <w:t>所示。</w:t>
      </w:r>
    </w:p>
    <w:p w14:paraId="6B866B61">
      <w:pPr>
        <w:overflowPunct w:val="0"/>
        <w:topLinePunct/>
        <w:ind w:firstLine="480"/>
        <w:rPr>
          <w:b/>
          <w:highlight w:val="yellow"/>
          <w:lang w:eastAsia="zh-CN"/>
        </w:rPr>
      </w:pPr>
      <w:r>
        <w:rPr>
          <w:rFonts w:hint="eastAsia"/>
          <w:lang w:eastAsia="zh-CN"/>
        </w:rPr>
        <w:t>结果表明，三家实验室针对</w:t>
      </w:r>
      <w:r>
        <w:rPr>
          <w:lang w:eastAsia="zh-CN"/>
        </w:rPr>
        <w:t>3</w:t>
      </w:r>
      <w:r>
        <w:rPr>
          <w:rFonts w:hint="eastAsia"/>
          <w:lang w:eastAsia="zh-CN"/>
        </w:rPr>
        <w:t>种不同的建筑塑料制品合成树脂样品，定性鉴别的结果一致，说明该方法可以在不同实验室进行应用。</w:t>
      </w:r>
    </w:p>
    <w:p w14:paraId="1ED24D78">
      <w:pPr>
        <w:pStyle w:val="7"/>
        <w:keepNext/>
        <w:overflowPunct w:val="0"/>
        <w:topLinePunct/>
        <w:ind w:firstLine="480"/>
        <w:jc w:val="center"/>
        <w:rPr>
          <w:rFonts w:ascii="Times New Roman" w:hAnsi="Times New Roman" w:eastAsia="宋体" w:cs="Times New Roman"/>
          <w:sz w:val="24"/>
          <w:szCs w:val="21"/>
          <w:lang w:eastAsia="zh-CN"/>
        </w:rPr>
      </w:pPr>
      <w:r>
        <w:rPr>
          <w:rFonts w:hint="eastAsia" w:ascii="Times New Roman" w:hAnsi="Times New Roman" w:eastAsia="宋体" w:cs="Times New Roman"/>
          <w:sz w:val="24"/>
          <w:szCs w:val="21"/>
          <w:lang w:eastAsia="zh-CN"/>
        </w:rPr>
        <w:t>附</w:t>
      </w:r>
      <w:r>
        <w:rPr>
          <w:rFonts w:ascii="Times New Roman" w:hAnsi="Times New Roman" w:eastAsia="宋体" w:cs="Times New Roman"/>
          <w:sz w:val="24"/>
          <w:szCs w:val="21"/>
          <w:lang w:eastAsia="zh-CN"/>
        </w:rPr>
        <w:t>表4树脂定性鉴别实验室间比对结果</w:t>
      </w:r>
    </w:p>
    <w:tbl>
      <w:tblPr>
        <w:tblStyle w:val="21"/>
        <w:tblW w:w="90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2600"/>
        <w:gridCol w:w="2601"/>
        <w:gridCol w:w="2601"/>
      </w:tblGrid>
      <w:tr w14:paraId="4F7D4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blHeader/>
          <w:jc w:val="center"/>
        </w:trPr>
        <w:tc>
          <w:tcPr>
            <w:tcW w:w="1271" w:type="dxa"/>
            <w:shd w:val="clear" w:color="auto" w:fill="D8D8D8" w:themeFill="background1" w:themeFillShade="D9"/>
            <w:vAlign w:val="center"/>
          </w:tcPr>
          <w:p w14:paraId="04F2B75C">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rFonts w:hint="eastAsia"/>
                <w:kern w:val="0"/>
                <w:sz w:val="21"/>
                <w:szCs w:val="21"/>
                <w:lang w:eastAsia="zh-CN"/>
              </w:rPr>
              <w:t>样品编号</w:t>
            </w:r>
          </w:p>
        </w:tc>
        <w:tc>
          <w:tcPr>
            <w:tcW w:w="2600" w:type="dxa"/>
            <w:shd w:val="clear" w:color="auto" w:fill="D8D8D8" w:themeFill="background1" w:themeFillShade="D9"/>
            <w:vAlign w:val="center"/>
          </w:tcPr>
          <w:p w14:paraId="6E70F1D3">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rFonts w:hint="eastAsia"/>
                <w:kern w:val="0"/>
                <w:sz w:val="21"/>
                <w:szCs w:val="21"/>
                <w:lang w:eastAsia="zh-CN"/>
              </w:rPr>
              <w:t>国检集团</w:t>
            </w:r>
          </w:p>
        </w:tc>
        <w:tc>
          <w:tcPr>
            <w:tcW w:w="2601" w:type="dxa"/>
            <w:shd w:val="clear" w:color="auto" w:fill="D8D8D8" w:themeFill="background1" w:themeFillShade="D9"/>
            <w:vAlign w:val="center"/>
          </w:tcPr>
          <w:p w14:paraId="7DFA2EB3">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rFonts w:hint="eastAsia"/>
                <w:kern w:val="2"/>
                <w:sz w:val="21"/>
                <w:szCs w:val="21"/>
                <w:lang w:eastAsia="zh-CN"/>
              </w:rPr>
              <w:t>北京理化</w:t>
            </w:r>
          </w:p>
        </w:tc>
        <w:tc>
          <w:tcPr>
            <w:tcW w:w="2601" w:type="dxa"/>
            <w:shd w:val="clear" w:color="auto" w:fill="D8D8D8" w:themeFill="background1" w:themeFillShade="D9"/>
            <w:vAlign w:val="center"/>
          </w:tcPr>
          <w:p w14:paraId="01DE7D65">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rFonts w:hint="eastAsia"/>
                <w:kern w:val="2"/>
                <w:sz w:val="21"/>
                <w:szCs w:val="21"/>
                <w:lang w:eastAsia="zh-CN"/>
              </w:rPr>
              <w:t>北京建材检验</w:t>
            </w:r>
          </w:p>
        </w:tc>
      </w:tr>
      <w:tr w14:paraId="3FD41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1271" w:type="dxa"/>
            <w:vAlign w:val="center"/>
          </w:tcPr>
          <w:p w14:paraId="13716059">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rFonts w:hint="eastAsia"/>
                <w:kern w:val="0"/>
                <w:sz w:val="21"/>
                <w:szCs w:val="21"/>
                <w:lang w:eastAsia="zh-CN"/>
              </w:rPr>
              <w:t>1</w:t>
            </w:r>
            <w:r>
              <w:rPr>
                <w:kern w:val="0"/>
                <w:sz w:val="21"/>
                <w:szCs w:val="21"/>
                <w:lang w:eastAsia="zh-CN"/>
              </w:rPr>
              <w:t>#</w:t>
            </w:r>
          </w:p>
        </w:tc>
        <w:tc>
          <w:tcPr>
            <w:tcW w:w="2600" w:type="dxa"/>
            <w:vAlign w:val="center"/>
          </w:tcPr>
          <w:p w14:paraId="7F8A029B">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kern w:val="0"/>
                <w:sz w:val="21"/>
                <w:szCs w:val="21"/>
                <w:lang w:eastAsia="zh-CN"/>
              </w:rPr>
              <w:t>不饱和聚酯</w:t>
            </w:r>
          </w:p>
        </w:tc>
        <w:tc>
          <w:tcPr>
            <w:tcW w:w="2601" w:type="dxa"/>
            <w:vAlign w:val="center"/>
          </w:tcPr>
          <w:p w14:paraId="6C92F110">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kern w:val="0"/>
                <w:sz w:val="21"/>
                <w:szCs w:val="21"/>
                <w:lang w:eastAsia="zh-CN"/>
              </w:rPr>
              <w:t>不饱和聚酯</w:t>
            </w:r>
          </w:p>
        </w:tc>
        <w:tc>
          <w:tcPr>
            <w:tcW w:w="2601" w:type="dxa"/>
            <w:vAlign w:val="center"/>
          </w:tcPr>
          <w:p w14:paraId="5C36DD49">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kern w:val="0"/>
                <w:sz w:val="21"/>
                <w:szCs w:val="21"/>
                <w:lang w:eastAsia="zh-CN"/>
              </w:rPr>
              <w:t>不饱和聚酯</w:t>
            </w:r>
          </w:p>
        </w:tc>
      </w:tr>
      <w:tr w14:paraId="1E9C9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1271" w:type="dxa"/>
            <w:vAlign w:val="center"/>
          </w:tcPr>
          <w:p w14:paraId="469E3A98">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rFonts w:hint="eastAsia"/>
                <w:kern w:val="0"/>
                <w:sz w:val="21"/>
                <w:szCs w:val="21"/>
                <w:lang w:eastAsia="zh-CN"/>
              </w:rPr>
              <w:t>2</w:t>
            </w:r>
            <w:r>
              <w:rPr>
                <w:kern w:val="0"/>
                <w:sz w:val="21"/>
                <w:szCs w:val="21"/>
                <w:lang w:eastAsia="zh-CN"/>
              </w:rPr>
              <w:t>#</w:t>
            </w:r>
          </w:p>
        </w:tc>
        <w:tc>
          <w:tcPr>
            <w:tcW w:w="2600" w:type="dxa"/>
            <w:vAlign w:val="center"/>
          </w:tcPr>
          <w:p w14:paraId="3F3AA9C4">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kern w:val="0"/>
                <w:sz w:val="21"/>
                <w:szCs w:val="21"/>
                <w:lang w:eastAsia="zh-CN"/>
              </w:rPr>
              <w:t>聚甲基丙烯酸甲酯</w:t>
            </w:r>
          </w:p>
        </w:tc>
        <w:tc>
          <w:tcPr>
            <w:tcW w:w="2601" w:type="dxa"/>
            <w:vAlign w:val="center"/>
          </w:tcPr>
          <w:p w14:paraId="488FA828">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kern w:val="0"/>
                <w:sz w:val="21"/>
                <w:szCs w:val="21"/>
                <w:lang w:eastAsia="zh-CN"/>
              </w:rPr>
              <w:t>聚甲基丙烯酸甲酯</w:t>
            </w:r>
          </w:p>
        </w:tc>
        <w:tc>
          <w:tcPr>
            <w:tcW w:w="2601" w:type="dxa"/>
            <w:vAlign w:val="center"/>
          </w:tcPr>
          <w:p w14:paraId="4A32EC35">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kern w:val="0"/>
                <w:sz w:val="21"/>
                <w:szCs w:val="21"/>
                <w:lang w:eastAsia="zh-CN"/>
              </w:rPr>
              <w:t>聚甲基丙烯酸甲酯</w:t>
            </w:r>
          </w:p>
        </w:tc>
      </w:tr>
      <w:tr w14:paraId="59D16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1271" w:type="dxa"/>
            <w:vAlign w:val="center"/>
          </w:tcPr>
          <w:p w14:paraId="78C3352F">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rFonts w:hint="eastAsia"/>
                <w:kern w:val="0"/>
                <w:sz w:val="21"/>
                <w:szCs w:val="21"/>
                <w:lang w:eastAsia="zh-CN"/>
              </w:rPr>
              <w:t>3</w:t>
            </w:r>
            <w:r>
              <w:rPr>
                <w:kern w:val="0"/>
                <w:sz w:val="21"/>
                <w:szCs w:val="21"/>
                <w:lang w:eastAsia="zh-CN"/>
              </w:rPr>
              <w:t>#</w:t>
            </w:r>
          </w:p>
        </w:tc>
        <w:tc>
          <w:tcPr>
            <w:tcW w:w="2600" w:type="dxa"/>
            <w:vAlign w:val="center"/>
          </w:tcPr>
          <w:p w14:paraId="73DC557D">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kern w:val="0"/>
                <w:sz w:val="21"/>
                <w:szCs w:val="21"/>
                <w:lang w:eastAsia="zh-CN"/>
              </w:rPr>
              <w:t>环氧树脂</w:t>
            </w:r>
          </w:p>
        </w:tc>
        <w:tc>
          <w:tcPr>
            <w:tcW w:w="2601" w:type="dxa"/>
            <w:vAlign w:val="center"/>
          </w:tcPr>
          <w:p w14:paraId="66C8A1B5">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kern w:val="0"/>
                <w:sz w:val="21"/>
                <w:szCs w:val="21"/>
                <w:lang w:eastAsia="zh-CN"/>
              </w:rPr>
              <w:t>环氧树脂</w:t>
            </w:r>
          </w:p>
        </w:tc>
        <w:tc>
          <w:tcPr>
            <w:tcW w:w="2601" w:type="dxa"/>
            <w:vAlign w:val="center"/>
          </w:tcPr>
          <w:p w14:paraId="39F07BFD">
            <w:pPr>
              <w:widowControl/>
              <w:tabs>
                <w:tab w:val="center" w:pos="4201"/>
                <w:tab w:val="right" w:leader="dot" w:pos="9298"/>
              </w:tabs>
              <w:autoSpaceDE w:val="0"/>
              <w:autoSpaceDN w:val="0"/>
              <w:spacing w:line="240" w:lineRule="auto"/>
              <w:ind w:firstLine="0" w:firstLineChars="0"/>
              <w:jc w:val="center"/>
              <w:rPr>
                <w:kern w:val="0"/>
                <w:sz w:val="21"/>
                <w:szCs w:val="21"/>
                <w:lang w:eastAsia="zh-CN"/>
              </w:rPr>
            </w:pPr>
            <w:r>
              <w:rPr>
                <w:kern w:val="0"/>
                <w:sz w:val="21"/>
                <w:szCs w:val="21"/>
                <w:lang w:eastAsia="zh-CN"/>
              </w:rPr>
              <w:t>环氧树脂</w:t>
            </w:r>
          </w:p>
        </w:tc>
      </w:tr>
      <w:tr w14:paraId="35563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jc w:val="center"/>
        </w:trPr>
        <w:tc>
          <w:tcPr>
            <w:tcW w:w="9073" w:type="dxa"/>
            <w:gridSpan w:val="4"/>
            <w:vAlign w:val="center"/>
          </w:tcPr>
          <w:p w14:paraId="147F1414">
            <w:pPr>
              <w:widowControl/>
              <w:tabs>
                <w:tab w:val="center" w:pos="4201"/>
                <w:tab w:val="right" w:leader="dot" w:pos="9298"/>
              </w:tabs>
              <w:autoSpaceDE w:val="0"/>
              <w:autoSpaceDN w:val="0"/>
              <w:spacing w:line="240" w:lineRule="auto"/>
              <w:ind w:firstLine="0" w:firstLineChars="0"/>
              <w:rPr>
                <w:kern w:val="2"/>
                <w:sz w:val="21"/>
                <w:szCs w:val="21"/>
                <w:lang w:eastAsia="zh-CN"/>
              </w:rPr>
            </w:pPr>
            <w:r>
              <w:rPr>
                <w:rFonts w:hint="eastAsia"/>
                <w:kern w:val="2"/>
                <w:sz w:val="21"/>
                <w:szCs w:val="21"/>
                <w:lang w:eastAsia="zh-CN"/>
              </w:rPr>
              <w:t>国检集团——中国国检测试控股集团股份有限公司</w:t>
            </w:r>
          </w:p>
          <w:p w14:paraId="6A320D25">
            <w:pPr>
              <w:widowControl/>
              <w:tabs>
                <w:tab w:val="center" w:pos="4201"/>
                <w:tab w:val="right" w:leader="dot" w:pos="9298"/>
              </w:tabs>
              <w:autoSpaceDE w:val="0"/>
              <w:autoSpaceDN w:val="0"/>
              <w:spacing w:line="240" w:lineRule="auto"/>
              <w:ind w:firstLine="0" w:firstLineChars="0"/>
              <w:rPr>
                <w:kern w:val="2"/>
                <w:sz w:val="21"/>
                <w:szCs w:val="21"/>
                <w:lang w:eastAsia="zh-CN"/>
              </w:rPr>
            </w:pPr>
            <w:r>
              <w:rPr>
                <w:rFonts w:hint="eastAsia"/>
                <w:kern w:val="2"/>
                <w:sz w:val="21"/>
                <w:szCs w:val="21"/>
                <w:lang w:eastAsia="zh-CN"/>
              </w:rPr>
              <w:t>北京理化——北京市科学技术研究院分析测试研究所（北京市理化分析测试中心）</w:t>
            </w:r>
          </w:p>
          <w:p w14:paraId="029BFD6F">
            <w:pPr>
              <w:widowControl/>
              <w:tabs>
                <w:tab w:val="center" w:pos="4201"/>
                <w:tab w:val="right" w:leader="dot" w:pos="9298"/>
              </w:tabs>
              <w:autoSpaceDE w:val="0"/>
              <w:autoSpaceDN w:val="0"/>
              <w:spacing w:line="240" w:lineRule="auto"/>
              <w:ind w:firstLine="0" w:firstLineChars="0"/>
              <w:rPr>
                <w:kern w:val="2"/>
                <w:sz w:val="21"/>
                <w:szCs w:val="21"/>
                <w:lang w:eastAsia="zh-CN"/>
              </w:rPr>
            </w:pPr>
            <w:r>
              <w:rPr>
                <w:rFonts w:hint="eastAsia"/>
                <w:kern w:val="2"/>
                <w:sz w:val="21"/>
                <w:szCs w:val="21"/>
                <w:lang w:eastAsia="zh-CN"/>
              </w:rPr>
              <w:t>北京建材检验——北京建筑材料检验研究院股份有限公司</w:t>
            </w:r>
          </w:p>
        </w:tc>
      </w:tr>
    </w:tbl>
    <w:p w14:paraId="6907D5BA">
      <w:pPr>
        <w:overflowPunct w:val="0"/>
        <w:topLinePunct/>
        <w:ind w:firstLine="0" w:firstLineChars="0"/>
        <w:rPr>
          <w:lang w:eastAsia="zh-CN"/>
        </w:rPr>
      </w:pPr>
      <w:r>
        <w:rPr>
          <w:lang w:eastAsia="zh-CN"/>
        </w:rPr>
        <w:t xml:space="preserve"> </w:t>
      </w:r>
    </w:p>
    <w:p w14:paraId="1C8427E3">
      <w:pPr>
        <w:overflowPunct w:val="0"/>
        <w:topLinePunct/>
        <w:ind w:firstLine="198" w:firstLineChars="82"/>
        <w:rPr>
          <w:b/>
          <w:lang w:eastAsia="zh-CN"/>
        </w:rPr>
      </w:pPr>
    </w:p>
    <w:sectPr>
      <w:pgSz w:w="11910" w:h="16840"/>
      <w:pgMar w:top="1440" w:right="1080" w:bottom="1440" w:left="1080" w:header="720" w:footer="720" w:gutter="0"/>
      <w:cols w:space="720" w:num="1"/>
      <w:docGrid w:linePitch="29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DD093C">
    <w:pPr>
      <w:pStyle w:val="13"/>
      <w:ind w:firstLine="360"/>
      <w:jc w:val="center"/>
    </w:pPr>
  </w:p>
  <w:p w14:paraId="7FB7FD89">
    <w:pPr>
      <w:pStyle w:val="13"/>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7FCD1">
    <w:pPr>
      <w:pStyle w:val="1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928C87">
    <w:pPr>
      <w:pStyle w:val="13"/>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58764460"/>
    </w:sdtPr>
    <w:sdtContent>
      <w:p w14:paraId="06055766">
        <w:pPr>
          <w:pStyle w:val="13"/>
          <w:ind w:firstLine="360"/>
          <w:jc w:val="center"/>
        </w:pPr>
        <w:r>
          <w:fldChar w:fldCharType="begin"/>
        </w:r>
        <w:r>
          <w:instrText xml:space="preserve"> PAGE   \* MERGEFORMAT </w:instrText>
        </w:r>
        <w:r>
          <w:fldChar w:fldCharType="separate"/>
        </w:r>
        <w:r>
          <w:rPr>
            <w:lang w:val="zh-CN"/>
          </w:rPr>
          <w:t>21</w:t>
        </w:r>
        <w:r>
          <w:rPr>
            <w:lang w:val="zh-CN"/>
          </w:rPr>
          <w:fldChar w:fldCharType="end"/>
        </w:r>
      </w:p>
    </w:sdtContent>
  </w:sdt>
  <w:p w14:paraId="15F69B0E">
    <w:pPr>
      <w:pStyle w:val="13"/>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C6203F">
    <w:pPr>
      <w:pStyle w:val="14"/>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FFE50">
    <w:pPr>
      <w:pStyle w:val="1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FEB74E">
    <w:pPr>
      <w:pStyle w:val="14"/>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2827D5B"/>
    <w:multiLevelType w:val="multilevel"/>
    <w:tmpl w:val="22827D5B"/>
    <w:lvl w:ilvl="0" w:tentative="0">
      <w:start w:val="1"/>
      <w:numFmt w:val="none"/>
      <w:pStyle w:val="48"/>
      <w:suff w:val="nothing"/>
      <w:lvlText w:val="%1注："/>
      <w:lvlJc w:val="left"/>
      <w:pPr>
        <w:ind w:left="931" w:hanging="363"/>
      </w:pPr>
      <w:rPr>
        <w:rFonts w:hint="eastAsia" w:ascii="黑体" w:hAnsi="Times New Roman" w:eastAsia="黑体"/>
        <w:b w:val="0"/>
        <w:i w:val="0"/>
        <w:sz w:val="18"/>
        <w:lang w:val="en-US"/>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1">
    <w:nsid w:val="44C50F90"/>
    <w:multiLevelType w:val="multilevel"/>
    <w:tmpl w:val="44C50F90"/>
    <w:lvl w:ilvl="0" w:tentative="0">
      <w:start w:val="1"/>
      <w:numFmt w:val="lowerLetter"/>
      <w:pStyle w:val="76"/>
      <w:lvlText w:val="%1)"/>
      <w:lvlJc w:val="left"/>
      <w:pPr>
        <w:tabs>
          <w:tab w:val="left" w:pos="851"/>
        </w:tabs>
        <w:ind w:left="851" w:hanging="426"/>
      </w:pPr>
      <w:rPr>
        <w:rFonts w:hint="eastAsia" w:ascii="宋体" w:hAnsi="Times New Roman" w:eastAsia="宋体"/>
        <w:sz w:val="21"/>
      </w:rPr>
    </w:lvl>
    <w:lvl w:ilvl="1" w:tentative="0">
      <w:start w:val="1"/>
      <w:numFmt w:val="decimal"/>
      <w:pStyle w:val="74"/>
      <w:lvlText w:val="%2)"/>
      <w:lvlJc w:val="left"/>
      <w:pPr>
        <w:tabs>
          <w:tab w:val="left" w:pos="1276"/>
        </w:tabs>
        <w:ind w:left="1276" w:hanging="425"/>
      </w:pPr>
      <w:rPr>
        <w:rFonts w:hint="eastAsia" w:ascii="宋体" w:hAnsi="Times New Roman" w:eastAsia="宋体"/>
        <w:sz w:val="21"/>
      </w:rPr>
    </w:lvl>
    <w:lvl w:ilvl="2" w:tentative="0">
      <w:start w:val="1"/>
      <w:numFmt w:val="decimal"/>
      <w:pStyle w:val="75"/>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2">
    <w:nsid w:val="48802D1C"/>
    <w:multiLevelType w:val="multilevel"/>
    <w:tmpl w:val="48802D1C"/>
    <w:lvl w:ilvl="0" w:tentative="0">
      <w:start w:val="1"/>
      <w:numFmt w:val="upperLetter"/>
      <w:pStyle w:val="89"/>
      <w:lvlText w:val="%1"/>
      <w:lvlJc w:val="left"/>
      <w:pPr>
        <w:ind w:left="420" w:hanging="420"/>
      </w:pPr>
      <w:rPr>
        <w:rFonts w:hint="eastAsia"/>
      </w:rPr>
    </w:lvl>
    <w:lvl w:ilvl="1" w:tentative="0">
      <w:start w:val="1"/>
      <w:numFmt w:val="decimal"/>
      <w:suff w:val="space"/>
      <w:lvlText w:val="图%1.%2"/>
      <w:lvlJc w:val="center"/>
      <w:pPr>
        <w:ind w:left="2694"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
    <w:nsid w:val="4E5D0291"/>
    <w:multiLevelType w:val="multilevel"/>
    <w:tmpl w:val="4E5D0291"/>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4632751"/>
    <w:multiLevelType w:val="multilevel"/>
    <w:tmpl w:val="54632751"/>
    <w:lvl w:ilvl="0" w:tentative="0">
      <w:start w:val="1"/>
      <w:numFmt w:val="none"/>
      <w:pStyle w:val="77"/>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5">
    <w:nsid w:val="5603797C"/>
    <w:multiLevelType w:val="multilevel"/>
    <w:tmpl w:val="5603797C"/>
    <w:lvl w:ilvl="0" w:tentative="0">
      <w:start w:val="1"/>
      <w:numFmt w:val="upperLetter"/>
      <w:pStyle w:val="59"/>
      <w:suff w:val="space"/>
      <w:lvlText w:val="%1"/>
      <w:lvlJc w:val="left"/>
      <w:pPr>
        <w:ind w:left="425" w:hanging="425"/>
      </w:pPr>
      <w:rPr>
        <w:rFonts w:hint="eastAsia"/>
      </w:rPr>
    </w:lvl>
    <w:lvl w:ilvl="1" w:tentative="0">
      <w:start w:val="1"/>
      <w:numFmt w:val="decimal"/>
      <w:pStyle w:val="57"/>
      <w:suff w:val="space"/>
      <w:lvlText w:val="表%1.%2"/>
      <w:lvlJc w:val="center"/>
      <w:pPr>
        <w:ind w:left="3990"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6">
    <w:nsid w:val="60B55DC2"/>
    <w:multiLevelType w:val="multilevel"/>
    <w:tmpl w:val="60B55DC2"/>
    <w:lvl w:ilvl="0" w:tentative="0">
      <w:start w:val="1"/>
      <w:numFmt w:val="upperLetter"/>
      <w:pStyle w:val="46"/>
      <w:lvlText w:val="%1"/>
      <w:lvlJc w:val="left"/>
      <w:pPr>
        <w:tabs>
          <w:tab w:val="left" w:pos="0"/>
        </w:tabs>
        <w:ind w:left="0" w:hanging="425"/>
      </w:pPr>
      <w:rPr>
        <w:rFonts w:hint="eastAsia"/>
      </w:rPr>
    </w:lvl>
    <w:lvl w:ilvl="1" w:tentative="0">
      <w:start w:val="1"/>
      <w:numFmt w:val="decimal"/>
      <w:pStyle w:val="47"/>
      <w:suff w:val="nothing"/>
      <w:lvlText w:val="表%1.%2　"/>
      <w:lvlJc w:val="left"/>
      <w:pPr>
        <w:ind w:left="4961"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56"/>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8">
    <w:nsid w:val="657D3FBC"/>
    <w:multiLevelType w:val="multilevel"/>
    <w:tmpl w:val="657D3FBC"/>
    <w:lvl w:ilvl="0" w:tentative="0">
      <w:start w:val="1"/>
      <w:numFmt w:val="upperLetter"/>
      <w:pStyle w:val="62"/>
      <w:suff w:val="nothing"/>
      <w:lvlText w:val="附录%1"/>
      <w:lvlJc w:val="left"/>
      <w:pPr>
        <w:ind w:left="0" w:firstLine="0"/>
      </w:pPr>
      <w:rPr>
        <w:rFonts w:hint="eastAsia"/>
        <w:spacing w:val="100"/>
      </w:rPr>
    </w:lvl>
    <w:lvl w:ilvl="1" w:tentative="0">
      <w:start w:val="1"/>
      <w:numFmt w:val="decimal"/>
      <w:pStyle w:val="63"/>
      <w:suff w:val="nothing"/>
      <w:lvlText w:val="%1.%2　"/>
      <w:lvlJc w:val="left"/>
      <w:pPr>
        <w:ind w:left="0" w:firstLine="0"/>
      </w:pPr>
      <w:rPr>
        <w:rFonts w:hint="eastAsia" w:ascii="黑体" w:eastAsia="黑体"/>
        <w:b w:val="0"/>
        <w:i w:val="0"/>
        <w:sz w:val="21"/>
      </w:rPr>
    </w:lvl>
    <w:lvl w:ilvl="2" w:tentative="0">
      <w:start w:val="1"/>
      <w:numFmt w:val="decimal"/>
      <w:pStyle w:val="64"/>
      <w:suff w:val="nothing"/>
      <w:lvlText w:val="%1.%2.%3　"/>
      <w:lvlJc w:val="left"/>
      <w:pPr>
        <w:ind w:left="0" w:firstLine="0"/>
      </w:pPr>
      <w:rPr>
        <w:rFonts w:hint="eastAsia" w:ascii="黑体" w:eastAsia="黑体"/>
        <w:b w:val="0"/>
        <w:i w:val="0"/>
        <w:sz w:val="21"/>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66"/>
      <w:suff w:val="nothing"/>
      <w:lvlText w:val="%1.%2.%3.%4.%5　"/>
      <w:lvlJc w:val="left"/>
      <w:pPr>
        <w:ind w:left="0" w:firstLine="0"/>
      </w:pPr>
      <w:rPr>
        <w:rFonts w:hint="eastAsia" w:ascii="黑体" w:eastAsia="黑体"/>
        <w:b w:val="0"/>
        <w:i w:val="0"/>
        <w:sz w:val="21"/>
      </w:rPr>
    </w:lvl>
    <w:lvl w:ilvl="5" w:tentative="0">
      <w:start w:val="1"/>
      <w:numFmt w:val="decimal"/>
      <w:pStyle w:val="67"/>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9">
    <w:nsid w:val="6CEA2025"/>
    <w:multiLevelType w:val="multilevel"/>
    <w:tmpl w:val="6CEA2025"/>
    <w:lvl w:ilvl="0" w:tentative="0">
      <w:start w:val="1"/>
      <w:numFmt w:val="none"/>
      <w:pStyle w:val="55"/>
      <w:suff w:val="nothing"/>
      <w:lvlText w:val="%1"/>
      <w:lvlJc w:val="left"/>
      <w:pPr>
        <w:ind w:left="0" w:firstLine="0"/>
      </w:pPr>
      <w:rPr>
        <w:rFonts w:hint="eastAsia"/>
      </w:rPr>
    </w:lvl>
    <w:lvl w:ilvl="1" w:tentative="0">
      <w:start w:val="1"/>
      <w:numFmt w:val="decimal"/>
      <w:pStyle w:val="53"/>
      <w:suff w:val="nothing"/>
      <w:lvlText w:val="%1%2　"/>
      <w:lvlJc w:val="left"/>
      <w:pPr>
        <w:ind w:left="0" w:firstLine="0"/>
      </w:pPr>
      <w:rPr>
        <w:rFonts w:hint="eastAsia" w:ascii="黑体" w:eastAsia="黑体"/>
        <w:b w:val="0"/>
        <w:i w:val="0"/>
        <w:sz w:val="21"/>
      </w:rPr>
    </w:lvl>
    <w:lvl w:ilvl="2" w:tentative="0">
      <w:start w:val="1"/>
      <w:numFmt w:val="decimal"/>
      <w:pStyle w:val="54"/>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49"/>
      <w:suff w:val="nothing"/>
      <w:lvlText w:val="%1%2.%3.%4　"/>
      <w:lvlJc w:val="left"/>
      <w:pPr>
        <w:ind w:left="0" w:firstLine="0"/>
      </w:pPr>
      <w:rPr>
        <w:rFonts w:hint="eastAsia" w:ascii="黑体" w:eastAsia="黑体"/>
        <w:b w:val="0"/>
        <w:i w:val="0"/>
        <w:sz w:val="21"/>
      </w:rPr>
    </w:lvl>
    <w:lvl w:ilvl="4" w:tentative="0">
      <w:start w:val="1"/>
      <w:numFmt w:val="decimal"/>
      <w:pStyle w:val="50"/>
      <w:suff w:val="nothing"/>
      <w:lvlText w:val="%1%2.%3.%4.%5　"/>
      <w:lvlJc w:val="left"/>
      <w:pPr>
        <w:ind w:left="0" w:firstLine="0"/>
      </w:pPr>
      <w:rPr>
        <w:rFonts w:hint="eastAsia" w:ascii="黑体" w:eastAsia="黑体"/>
        <w:b w:val="0"/>
        <w:i w:val="0"/>
        <w:sz w:val="21"/>
      </w:rPr>
    </w:lvl>
    <w:lvl w:ilvl="5" w:tentative="0">
      <w:start w:val="1"/>
      <w:numFmt w:val="decimal"/>
      <w:pStyle w:val="51"/>
      <w:suff w:val="nothing"/>
      <w:lvlText w:val="%1%2.%3.%4.%5.%6　"/>
      <w:lvlJc w:val="left"/>
      <w:pPr>
        <w:ind w:left="0" w:firstLine="0"/>
      </w:pPr>
      <w:rPr>
        <w:rFonts w:hint="eastAsia" w:ascii="黑体" w:eastAsia="黑体"/>
        <w:b w:val="0"/>
        <w:i w:val="0"/>
        <w:sz w:val="21"/>
      </w:rPr>
    </w:lvl>
    <w:lvl w:ilvl="6" w:tentative="0">
      <w:start w:val="1"/>
      <w:numFmt w:val="decimal"/>
      <w:pStyle w:val="52"/>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0">
    <w:nsid w:val="6DBF04F4"/>
    <w:multiLevelType w:val="multilevel"/>
    <w:tmpl w:val="6DBF04F4"/>
    <w:lvl w:ilvl="0" w:tentative="0">
      <w:start w:val="1"/>
      <w:numFmt w:val="none"/>
      <w:pStyle w:val="87"/>
      <w:lvlText w:val="%1注："/>
      <w:lvlJc w:val="left"/>
      <w:pPr>
        <w:ind w:left="3209"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6"/>
  </w:num>
  <w:num w:numId="2">
    <w:abstractNumId w:val="0"/>
  </w:num>
  <w:num w:numId="3">
    <w:abstractNumId w:val="9"/>
  </w:num>
  <w:num w:numId="4">
    <w:abstractNumId w:val="7"/>
  </w:num>
  <w:num w:numId="5">
    <w:abstractNumId w:val="5"/>
  </w:num>
  <w:num w:numId="6">
    <w:abstractNumId w:val="8"/>
  </w:num>
  <w:num w:numId="7">
    <w:abstractNumId w:val="1"/>
  </w:num>
  <w:num w:numId="8">
    <w:abstractNumId w:val="4"/>
  </w:num>
  <w:num w:numId="9">
    <w:abstractNumId w:val="10"/>
  </w:num>
  <w:num w:numId="10">
    <w:abstractNumId w:val="2"/>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720"/>
  <w:drawingGridHorizontalSpacing w:val="110"/>
  <w:noPunctuationKerning w:val="1"/>
  <w:characterSpacingControl w:val="doNotCompress"/>
  <w:footnotePr>
    <w:footnote w:id="0"/>
    <w:footnote w:id="1"/>
  </w:footnotePr>
  <w:endnotePr>
    <w:endnote w:id="0"/>
    <w:endnote w:id="1"/>
  </w:endnotePr>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7519"/>
    <w:rsid w:val="00000867"/>
    <w:rsid w:val="00002266"/>
    <w:rsid w:val="0000288D"/>
    <w:rsid w:val="000058FF"/>
    <w:rsid w:val="00005AAA"/>
    <w:rsid w:val="00011CEB"/>
    <w:rsid w:val="0001416F"/>
    <w:rsid w:val="0001495B"/>
    <w:rsid w:val="00014B8B"/>
    <w:rsid w:val="00014BD1"/>
    <w:rsid w:val="000153A3"/>
    <w:rsid w:val="000162E2"/>
    <w:rsid w:val="00017223"/>
    <w:rsid w:val="0002496A"/>
    <w:rsid w:val="000250B8"/>
    <w:rsid w:val="000261E0"/>
    <w:rsid w:val="0003026B"/>
    <w:rsid w:val="0003097E"/>
    <w:rsid w:val="00032AA1"/>
    <w:rsid w:val="000330BE"/>
    <w:rsid w:val="0003328E"/>
    <w:rsid w:val="000351E2"/>
    <w:rsid w:val="000379FA"/>
    <w:rsid w:val="00040EA1"/>
    <w:rsid w:val="0004169F"/>
    <w:rsid w:val="0004253A"/>
    <w:rsid w:val="000425E2"/>
    <w:rsid w:val="000426F9"/>
    <w:rsid w:val="00042905"/>
    <w:rsid w:val="00045B86"/>
    <w:rsid w:val="00046D33"/>
    <w:rsid w:val="0004795F"/>
    <w:rsid w:val="00047C78"/>
    <w:rsid w:val="0005215A"/>
    <w:rsid w:val="00053D11"/>
    <w:rsid w:val="00055619"/>
    <w:rsid w:val="000570CC"/>
    <w:rsid w:val="00060EC9"/>
    <w:rsid w:val="00062E21"/>
    <w:rsid w:val="000662DB"/>
    <w:rsid w:val="00067F36"/>
    <w:rsid w:val="00071D90"/>
    <w:rsid w:val="00071EEF"/>
    <w:rsid w:val="00072AA4"/>
    <w:rsid w:val="00072B4C"/>
    <w:rsid w:val="00077CAC"/>
    <w:rsid w:val="00080379"/>
    <w:rsid w:val="00080B3C"/>
    <w:rsid w:val="00081168"/>
    <w:rsid w:val="0008171F"/>
    <w:rsid w:val="00083825"/>
    <w:rsid w:val="0008539D"/>
    <w:rsid w:val="0008672B"/>
    <w:rsid w:val="00091ACD"/>
    <w:rsid w:val="000965C8"/>
    <w:rsid w:val="00096BA9"/>
    <w:rsid w:val="000A00D7"/>
    <w:rsid w:val="000A10A9"/>
    <w:rsid w:val="000A23FF"/>
    <w:rsid w:val="000A3B09"/>
    <w:rsid w:val="000A3D5F"/>
    <w:rsid w:val="000A4840"/>
    <w:rsid w:val="000A6C73"/>
    <w:rsid w:val="000A7A16"/>
    <w:rsid w:val="000A7B59"/>
    <w:rsid w:val="000A7DFE"/>
    <w:rsid w:val="000B1605"/>
    <w:rsid w:val="000B1ADD"/>
    <w:rsid w:val="000B20A6"/>
    <w:rsid w:val="000B2521"/>
    <w:rsid w:val="000B2E9A"/>
    <w:rsid w:val="000B5C32"/>
    <w:rsid w:val="000B6F93"/>
    <w:rsid w:val="000C019F"/>
    <w:rsid w:val="000C0EAE"/>
    <w:rsid w:val="000C1FFF"/>
    <w:rsid w:val="000C2075"/>
    <w:rsid w:val="000C26AF"/>
    <w:rsid w:val="000C4582"/>
    <w:rsid w:val="000C6A17"/>
    <w:rsid w:val="000D0BCD"/>
    <w:rsid w:val="000D114A"/>
    <w:rsid w:val="000D2AC9"/>
    <w:rsid w:val="000D34FA"/>
    <w:rsid w:val="000D3929"/>
    <w:rsid w:val="000D3F1C"/>
    <w:rsid w:val="000D5AF1"/>
    <w:rsid w:val="000D66AA"/>
    <w:rsid w:val="000D7C96"/>
    <w:rsid w:val="000E0BBC"/>
    <w:rsid w:val="000E2407"/>
    <w:rsid w:val="000E427C"/>
    <w:rsid w:val="000E45DE"/>
    <w:rsid w:val="000E597A"/>
    <w:rsid w:val="000E7418"/>
    <w:rsid w:val="000E7DEF"/>
    <w:rsid w:val="000F0749"/>
    <w:rsid w:val="000F209D"/>
    <w:rsid w:val="000F2A2C"/>
    <w:rsid w:val="000F327F"/>
    <w:rsid w:val="000F72F7"/>
    <w:rsid w:val="00100544"/>
    <w:rsid w:val="00101FD6"/>
    <w:rsid w:val="001032C7"/>
    <w:rsid w:val="0010553A"/>
    <w:rsid w:val="00105679"/>
    <w:rsid w:val="00110D76"/>
    <w:rsid w:val="00111639"/>
    <w:rsid w:val="001145EE"/>
    <w:rsid w:val="00116DA7"/>
    <w:rsid w:val="00120CC2"/>
    <w:rsid w:val="00121555"/>
    <w:rsid w:val="0012314A"/>
    <w:rsid w:val="00123B70"/>
    <w:rsid w:val="00124882"/>
    <w:rsid w:val="001249B4"/>
    <w:rsid w:val="00125E27"/>
    <w:rsid w:val="0012697A"/>
    <w:rsid w:val="00127167"/>
    <w:rsid w:val="00127205"/>
    <w:rsid w:val="00127822"/>
    <w:rsid w:val="0013096F"/>
    <w:rsid w:val="00131211"/>
    <w:rsid w:val="001341A4"/>
    <w:rsid w:val="00134768"/>
    <w:rsid w:val="0013698D"/>
    <w:rsid w:val="0014512E"/>
    <w:rsid w:val="0014599B"/>
    <w:rsid w:val="001507A6"/>
    <w:rsid w:val="0015199E"/>
    <w:rsid w:val="00154CD9"/>
    <w:rsid w:val="001608D9"/>
    <w:rsid w:val="001624E9"/>
    <w:rsid w:val="0016458C"/>
    <w:rsid w:val="00165B28"/>
    <w:rsid w:val="001719CD"/>
    <w:rsid w:val="001719F8"/>
    <w:rsid w:val="0017208F"/>
    <w:rsid w:val="00172BE5"/>
    <w:rsid w:val="0017538E"/>
    <w:rsid w:val="00176D52"/>
    <w:rsid w:val="00177347"/>
    <w:rsid w:val="00177664"/>
    <w:rsid w:val="001776DB"/>
    <w:rsid w:val="00177E22"/>
    <w:rsid w:val="00181F3A"/>
    <w:rsid w:val="0018353A"/>
    <w:rsid w:val="00185826"/>
    <w:rsid w:val="00187AFA"/>
    <w:rsid w:val="001926A5"/>
    <w:rsid w:val="00192BEB"/>
    <w:rsid w:val="001953F4"/>
    <w:rsid w:val="00195F9E"/>
    <w:rsid w:val="00196297"/>
    <w:rsid w:val="00197790"/>
    <w:rsid w:val="00197FA4"/>
    <w:rsid w:val="001A0A1E"/>
    <w:rsid w:val="001A209F"/>
    <w:rsid w:val="001A2E95"/>
    <w:rsid w:val="001A2FE9"/>
    <w:rsid w:val="001A34E7"/>
    <w:rsid w:val="001A4C3B"/>
    <w:rsid w:val="001A520C"/>
    <w:rsid w:val="001B108E"/>
    <w:rsid w:val="001B2814"/>
    <w:rsid w:val="001B3944"/>
    <w:rsid w:val="001B3A12"/>
    <w:rsid w:val="001B3EAD"/>
    <w:rsid w:val="001B4EAE"/>
    <w:rsid w:val="001B593F"/>
    <w:rsid w:val="001B5D8A"/>
    <w:rsid w:val="001B6632"/>
    <w:rsid w:val="001B76BC"/>
    <w:rsid w:val="001B794B"/>
    <w:rsid w:val="001C02F8"/>
    <w:rsid w:val="001C1BD2"/>
    <w:rsid w:val="001C2E48"/>
    <w:rsid w:val="001C3FA7"/>
    <w:rsid w:val="001C59E7"/>
    <w:rsid w:val="001C61D3"/>
    <w:rsid w:val="001C6805"/>
    <w:rsid w:val="001C6CE3"/>
    <w:rsid w:val="001D42A8"/>
    <w:rsid w:val="001D4BDE"/>
    <w:rsid w:val="001D4C1D"/>
    <w:rsid w:val="001D5F70"/>
    <w:rsid w:val="001D6EF9"/>
    <w:rsid w:val="001E0373"/>
    <w:rsid w:val="001E0C92"/>
    <w:rsid w:val="001E0E4C"/>
    <w:rsid w:val="001E2D10"/>
    <w:rsid w:val="001E3A0C"/>
    <w:rsid w:val="001E4DAE"/>
    <w:rsid w:val="001E5BDD"/>
    <w:rsid w:val="001E7C82"/>
    <w:rsid w:val="001F0351"/>
    <w:rsid w:val="001F0767"/>
    <w:rsid w:val="001F1C8A"/>
    <w:rsid w:val="001F576B"/>
    <w:rsid w:val="001F71FE"/>
    <w:rsid w:val="001F7B63"/>
    <w:rsid w:val="00200EF5"/>
    <w:rsid w:val="00201DD3"/>
    <w:rsid w:val="00202482"/>
    <w:rsid w:val="0020333E"/>
    <w:rsid w:val="00203FA9"/>
    <w:rsid w:val="002046D6"/>
    <w:rsid w:val="00205E12"/>
    <w:rsid w:val="00205FE7"/>
    <w:rsid w:val="002075C0"/>
    <w:rsid w:val="00210891"/>
    <w:rsid w:val="00215BCE"/>
    <w:rsid w:val="00217255"/>
    <w:rsid w:val="00217CE4"/>
    <w:rsid w:val="00221D19"/>
    <w:rsid w:val="00223D67"/>
    <w:rsid w:val="0022533F"/>
    <w:rsid w:val="002305D0"/>
    <w:rsid w:val="00231135"/>
    <w:rsid w:val="00232659"/>
    <w:rsid w:val="00234E2A"/>
    <w:rsid w:val="00237943"/>
    <w:rsid w:val="002379B2"/>
    <w:rsid w:val="0024591D"/>
    <w:rsid w:val="002516B7"/>
    <w:rsid w:val="002518EA"/>
    <w:rsid w:val="002530CB"/>
    <w:rsid w:val="00253BDD"/>
    <w:rsid w:val="00253D2B"/>
    <w:rsid w:val="00254697"/>
    <w:rsid w:val="00262063"/>
    <w:rsid w:val="002632ED"/>
    <w:rsid w:val="00263678"/>
    <w:rsid w:val="00265D16"/>
    <w:rsid w:val="00266B10"/>
    <w:rsid w:val="00267167"/>
    <w:rsid w:val="00273E36"/>
    <w:rsid w:val="00273E6E"/>
    <w:rsid w:val="00275870"/>
    <w:rsid w:val="00275FED"/>
    <w:rsid w:val="002760FC"/>
    <w:rsid w:val="00276677"/>
    <w:rsid w:val="002776B7"/>
    <w:rsid w:val="00280465"/>
    <w:rsid w:val="00280739"/>
    <w:rsid w:val="00281906"/>
    <w:rsid w:val="00281AB4"/>
    <w:rsid w:val="002835A9"/>
    <w:rsid w:val="002846D0"/>
    <w:rsid w:val="00284D7F"/>
    <w:rsid w:val="00285117"/>
    <w:rsid w:val="0029170E"/>
    <w:rsid w:val="002917AF"/>
    <w:rsid w:val="00292A64"/>
    <w:rsid w:val="00292ACC"/>
    <w:rsid w:val="0029349B"/>
    <w:rsid w:val="00293BF5"/>
    <w:rsid w:val="00293BFE"/>
    <w:rsid w:val="002957E9"/>
    <w:rsid w:val="00297638"/>
    <w:rsid w:val="002A0225"/>
    <w:rsid w:val="002A3F96"/>
    <w:rsid w:val="002A5804"/>
    <w:rsid w:val="002A7C2E"/>
    <w:rsid w:val="002A7EF4"/>
    <w:rsid w:val="002B2344"/>
    <w:rsid w:val="002B4544"/>
    <w:rsid w:val="002B7737"/>
    <w:rsid w:val="002C196A"/>
    <w:rsid w:val="002C299B"/>
    <w:rsid w:val="002C3B0B"/>
    <w:rsid w:val="002C3CA2"/>
    <w:rsid w:val="002C5781"/>
    <w:rsid w:val="002C6282"/>
    <w:rsid w:val="002C6359"/>
    <w:rsid w:val="002C7C89"/>
    <w:rsid w:val="002D1689"/>
    <w:rsid w:val="002D2D6A"/>
    <w:rsid w:val="002D442E"/>
    <w:rsid w:val="002D4B2B"/>
    <w:rsid w:val="002D5A79"/>
    <w:rsid w:val="002D5CDB"/>
    <w:rsid w:val="002D695A"/>
    <w:rsid w:val="002E04A8"/>
    <w:rsid w:val="002E072D"/>
    <w:rsid w:val="002E100B"/>
    <w:rsid w:val="002E15E7"/>
    <w:rsid w:val="002E38EE"/>
    <w:rsid w:val="002E503D"/>
    <w:rsid w:val="002E58E3"/>
    <w:rsid w:val="002E6C0E"/>
    <w:rsid w:val="002F18F1"/>
    <w:rsid w:val="002F2DEA"/>
    <w:rsid w:val="002F32D0"/>
    <w:rsid w:val="002F4548"/>
    <w:rsid w:val="002F493B"/>
    <w:rsid w:val="002F5E78"/>
    <w:rsid w:val="00302D1C"/>
    <w:rsid w:val="0030363A"/>
    <w:rsid w:val="00304250"/>
    <w:rsid w:val="0030444E"/>
    <w:rsid w:val="003056ED"/>
    <w:rsid w:val="00305AB1"/>
    <w:rsid w:val="00311B50"/>
    <w:rsid w:val="00311D63"/>
    <w:rsid w:val="003133C9"/>
    <w:rsid w:val="003133FD"/>
    <w:rsid w:val="0031340C"/>
    <w:rsid w:val="00313468"/>
    <w:rsid w:val="0031377C"/>
    <w:rsid w:val="0032202E"/>
    <w:rsid w:val="0032339E"/>
    <w:rsid w:val="00324DC2"/>
    <w:rsid w:val="00324ED2"/>
    <w:rsid w:val="00325BD0"/>
    <w:rsid w:val="003274E0"/>
    <w:rsid w:val="003305F3"/>
    <w:rsid w:val="00331DE1"/>
    <w:rsid w:val="003325B2"/>
    <w:rsid w:val="003342DD"/>
    <w:rsid w:val="00336C16"/>
    <w:rsid w:val="00336D37"/>
    <w:rsid w:val="0034053F"/>
    <w:rsid w:val="00341D00"/>
    <w:rsid w:val="00343458"/>
    <w:rsid w:val="00344C16"/>
    <w:rsid w:val="00347391"/>
    <w:rsid w:val="0035090A"/>
    <w:rsid w:val="003521FF"/>
    <w:rsid w:val="003522DD"/>
    <w:rsid w:val="003539F3"/>
    <w:rsid w:val="00354429"/>
    <w:rsid w:val="00354669"/>
    <w:rsid w:val="00354950"/>
    <w:rsid w:val="00354D64"/>
    <w:rsid w:val="00356E00"/>
    <w:rsid w:val="003605A5"/>
    <w:rsid w:val="00361BE1"/>
    <w:rsid w:val="0036367F"/>
    <w:rsid w:val="0036499C"/>
    <w:rsid w:val="00366096"/>
    <w:rsid w:val="00367ECB"/>
    <w:rsid w:val="00370027"/>
    <w:rsid w:val="00370634"/>
    <w:rsid w:val="00370EA4"/>
    <w:rsid w:val="00371272"/>
    <w:rsid w:val="00373233"/>
    <w:rsid w:val="0037439D"/>
    <w:rsid w:val="00374EDE"/>
    <w:rsid w:val="0038055F"/>
    <w:rsid w:val="003819FE"/>
    <w:rsid w:val="00381FFD"/>
    <w:rsid w:val="00382DEA"/>
    <w:rsid w:val="00383532"/>
    <w:rsid w:val="00385854"/>
    <w:rsid w:val="00385C74"/>
    <w:rsid w:val="00386E91"/>
    <w:rsid w:val="00393FD4"/>
    <w:rsid w:val="003944E1"/>
    <w:rsid w:val="003950E5"/>
    <w:rsid w:val="003971EC"/>
    <w:rsid w:val="00397269"/>
    <w:rsid w:val="0039781A"/>
    <w:rsid w:val="003A4F90"/>
    <w:rsid w:val="003A50FF"/>
    <w:rsid w:val="003A66AA"/>
    <w:rsid w:val="003A6952"/>
    <w:rsid w:val="003A78DE"/>
    <w:rsid w:val="003B23FC"/>
    <w:rsid w:val="003B2904"/>
    <w:rsid w:val="003B2EF6"/>
    <w:rsid w:val="003B367C"/>
    <w:rsid w:val="003B4CAB"/>
    <w:rsid w:val="003C33EF"/>
    <w:rsid w:val="003C3DA7"/>
    <w:rsid w:val="003C433F"/>
    <w:rsid w:val="003C502C"/>
    <w:rsid w:val="003C6014"/>
    <w:rsid w:val="003C6466"/>
    <w:rsid w:val="003D081D"/>
    <w:rsid w:val="003D0F6F"/>
    <w:rsid w:val="003D1304"/>
    <w:rsid w:val="003D187B"/>
    <w:rsid w:val="003D27F1"/>
    <w:rsid w:val="003D2F99"/>
    <w:rsid w:val="003D3132"/>
    <w:rsid w:val="003D3223"/>
    <w:rsid w:val="003D3652"/>
    <w:rsid w:val="003D3743"/>
    <w:rsid w:val="003D7556"/>
    <w:rsid w:val="003D77CF"/>
    <w:rsid w:val="003D7D67"/>
    <w:rsid w:val="003E245E"/>
    <w:rsid w:val="003E24FC"/>
    <w:rsid w:val="003E2DC7"/>
    <w:rsid w:val="003E7FC8"/>
    <w:rsid w:val="003F0BEC"/>
    <w:rsid w:val="003F3855"/>
    <w:rsid w:val="003F523E"/>
    <w:rsid w:val="003F5545"/>
    <w:rsid w:val="003F745F"/>
    <w:rsid w:val="00402E63"/>
    <w:rsid w:val="00404790"/>
    <w:rsid w:val="00404A0F"/>
    <w:rsid w:val="00407276"/>
    <w:rsid w:val="00407AA9"/>
    <w:rsid w:val="00407E03"/>
    <w:rsid w:val="00411C77"/>
    <w:rsid w:val="00412466"/>
    <w:rsid w:val="0041246F"/>
    <w:rsid w:val="004130EC"/>
    <w:rsid w:val="00413D53"/>
    <w:rsid w:val="004148BD"/>
    <w:rsid w:val="004154B6"/>
    <w:rsid w:val="00415CB0"/>
    <w:rsid w:val="00416509"/>
    <w:rsid w:val="00417308"/>
    <w:rsid w:val="004203F1"/>
    <w:rsid w:val="004212E6"/>
    <w:rsid w:val="00424098"/>
    <w:rsid w:val="00424291"/>
    <w:rsid w:val="00425107"/>
    <w:rsid w:val="004279B5"/>
    <w:rsid w:val="00427B04"/>
    <w:rsid w:val="0043054F"/>
    <w:rsid w:val="00430D21"/>
    <w:rsid w:val="004328FF"/>
    <w:rsid w:val="00432BFB"/>
    <w:rsid w:val="00432C77"/>
    <w:rsid w:val="00432EBB"/>
    <w:rsid w:val="00433C75"/>
    <w:rsid w:val="00435204"/>
    <w:rsid w:val="00435649"/>
    <w:rsid w:val="004360A5"/>
    <w:rsid w:val="00440E9A"/>
    <w:rsid w:val="00444363"/>
    <w:rsid w:val="00444626"/>
    <w:rsid w:val="004450F4"/>
    <w:rsid w:val="00446AFA"/>
    <w:rsid w:val="00451CD9"/>
    <w:rsid w:val="00451D07"/>
    <w:rsid w:val="00451EBF"/>
    <w:rsid w:val="00452AB8"/>
    <w:rsid w:val="00454AF4"/>
    <w:rsid w:val="00455353"/>
    <w:rsid w:val="0045573C"/>
    <w:rsid w:val="00456623"/>
    <w:rsid w:val="00456FD6"/>
    <w:rsid w:val="00457990"/>
    <w:rsid w:val="00463AB7"/>
    <w:rsid w:val="0046530E"/>
    <w:rsid w:val="00467A34"/>
    <w:rsid w:val="00471386"/>
    <w:rsid w:val="0047330E"/>
    <w:rsid w:val="004735B8"/>
    <w:rsid w:val="00475B2A"/>
    <w:rsid w:val="00476E2F"/>
    <w:rsid w:val="00476EF2"/>
    <w:rsid w:val="0048489F"/>
    <w:rsid w:val="00484964"/>
    <w:rsid w:val="00484BEA"/>
    <w:rsid w:val="00485C2A"/>
    <w:rsid w:val="00487F83"/>
    <w:rsid w:val="004926FA"/>
    <w:rsid w:val="00494D1C"/>
    <w:rsid w:val="00495D59"/>
    <w:rsid w:val="004A0C6B"/>
    <w:rsid w:val="004A1212"/>
    <w:rsid w:val="004A1BEB"/>
    <w:rsid w:val="004A3F17"/>
    <w:rsid w:val="004A613A"/>
    <w:rsid w:val="004A7206"/>
    <w:rsid w:val="004A7374"/>
    <w:rsid w:val="004A7891"/>
    <w:rsid w:val="004A7A22"/>
    <w:rsid w:val="004B0A2D"/>
    <w:rsid w:val="004B1208"/>
    <w:rsid w:val="004B153D"/>
    <w:rsid w:val="004B34E4"/>
    <w:rsid w:val="004B3C85"/>
    <w:rsid w:val="004B3F33"/>
    <w:rsid w:val="004B519C"/>
    <w:rsid w:val="004B5BE3"/>
    <w:rsid w:val="004B6069"/>
    <w:rsid w:val="004B636C"/>
    <w:rsid w:val="004C007C"/>
    <w:rsid w:val="004C0A17"/>
    <w:rsid w:val="004C0EFD"/>
    <w:rsid w:val="004C21E2"/>
    <w:rsid w:val="004C3E79"/>
    <w:rsid w:val="004C4572"/>
    <w:rsid w:val="004C4B6B"/>
    <w:rsid w:val="004C4F99"/>
    <w:rsid w:val="004C5046"/>
    <w:rsid w:val="004D0036"/>
    <w:rsid w:val="004D3C93"/>
    <w:rsid w:val="004D433F"/>
    <w:rsid w:val="004D4901"/>
    <w:rsid w:val="004D5A86"/>
    <w:rsid w:val="004D5C6F"/>
    <w:rsid w:val="004D7440"/>
    <w:rsid w:val="004E1C71"/>
    <w:rsid w:val="004E2B2C"/>
    <w:rsid w:val="004E4A32"/>
    <w:rsid w:val="004E6C2A"/>
    <w:rsid w:val="004E72E0"/>
    <w:rsid w:val="004F0BC2"/>
    <w:rsid w:val="004F0C91"/>
    <w:rsid w:val="004F13F2"/>
    <w:rsid w:val="004F211F"/>
    <w:rsid w:val="004F4942"/>
    <w:rsid w:val="004F5A81"/>
    <w:rsid w:val="004F755A"/>
    <w:rsid w:val="00500D1F"/>
    <w:rsid w:val="005019D5"/>
    <w:rsid w:val="005041F1"/>
    <w:rsid w:val="0050483F"/>
    <w:rsid w:val="005049C9"/>
    <w:rsid w:val="00504B9C"/>
    <w:rsid w:val="00505263"/>
    <w:rsid w:val="005060C7"/>
    <w:rsid w:val="00506E1A"/>
    <w:rsid w:val="00512F45"/>
    <w:rsid w:val="00513BCE"/>
    <w:rsid w:val="00513DBC"/>
    <w:rsid w:val="0051422A"/>
    <w:rsid w:val="00520FFF"/>
    <w:rsid w:val="005217A3"/>
    <w:rsid w:val="00521CFE"/>
    <w:rsid w:val="005232DD"/>
    <w:rsid w:val="00523CDD"/>
    <w:rsid w:val="00524C0E"/>
    <w:rsid w:val="005252A4"/>
    <w:rsid w:val="005264BF"/>
    <w:rsid w:val="0052698D"/>
    <w:rsid w:val="00526F5D"/>
    <w:rsid w:val="00530114"/>
    <w:rsid w:val="00530400"/>
    <w:rsid w:val="00530509"/>
    <w:rsid w:val="005322A1"/>
    <w:rsid w:val="00532ECC"/>
    <w:rsid w:val="00536B5D"/>
    <w:rsid w:val="005416B8"/>
    <w:rsid w:val="005439BD"/>
    <w:rsid w:val="00544455"/>
    <w:rsid w:val="00545680"/>
    <w:rsid w:val="00546EDD"/>
    <w:rsid w:val="00551169"/>
    <w:rsid w:val="00551817"/>
    <w:rsid w:val="00554814"/>
    <w:rsid w:val="00554E9D"/>
    <w:rsid w:val="00555B7C"/>
    <w:rsid w:val="00555E8F"/>
    <w:rsid w:val="00561D4B"/>
    <w:rsid w:val="00562146"/>
    <w:rsid w:val="0056241B"/>
    <w:rsid w:val="0056270D"/>
    <w:rsid w:val="0056271B"/>
    <w:rsid w:val="0056336B"/>
    <w:rsid w:val="0056370B"/>
    <w:rsid w:val="00565600"/>
    <w:rsid w:val="00570C72"/>
    <w:rsid w:val="00571CA3"/>
    <w:rsid w:val="00572001"/>
    <w:rsid w:val="00573BA1"/>
    <w:rsid w:val="005764BF"/>
    <w:rsid w:val="00577490"/>
    <w:rsid w:val="00577A6C"/>
    <w:rsid w:val="0058109B"/>
    <w:rsid w:val="00583574"/>
    <w:rsid w:val="00585BE6"/>
    <w:rsid w:val="005862A1"/>
    <w:rsid w:val="00586F42"/>
    <w:rsid w:val="005878B5"/>
    <w:rsid w:val="00587968"/>
    <w:rsid w:val="0059149B"/>
    <w:rsid w:val="00592E89"/>
    <w:rsid w:val="00593F66"/>
    <w:rsid w:val="00593F96"/>
    <w:rsid w:val="00594AEC"/>
    <w:rsid w:val="005A098C"/>
    <w:rsid w:val="005A4142"/>
    <w:rsid w:val="005A481F"/>
    <w:rsid w:val="005A521D"/>
    <w:rsid w:val="005A53F5"/>
    <w:rsid w:val="005A553D"/>
    <w:rsid w:val="005A68B6"/>
    <w:rsid w:val="005A6DE0"/>
    <w:rsid w:val="005A7518"/>
    <w:rsid w:val="005B0836"/>
    <w:rsid w:val="005B387D"/>
    <w:rsid w:val="005B3D44"/>
    <w:rsid w:val="005B6123"/>
    <w:rsid w:val="005B6AD6"/>
    <w:rsid w:val="005B6E2E"/>
    <w:rsid w:val="005C2805"/>
    <w:rsid w:val="005C29B0"/>
    <w:rsid w:val="005C3F11"/>
    <w:rsid w:val="005C46C4"/>
    <w:rsid w:val="005C667B"/>
    <w:rsid w:val="005D23C0"/>
    <w:rsid w:val="005D4132"/>
    <w:rsid w:val="005D64F6"/>
    <w:rsid w:val="005D67D1"/>
    <w:rsid w:val="005E083A"/>
    <w:rsid w:val="005E190C"/>
    <w:rsid w:val="005E1A3A"/>
    <w:rsid w:val="005F04F7"/>
    <w:rsid w:val="005F061D"/>
    <w:rsid w:val="005F22FE"/>
    <w:rsid w:val="005F35E6"/>
    <w:rsid w:val="005F3D27"/>
    <w:rsid w:val="005F781A"/>
    <w:rsid w:val="006003FF"/>
    <w:rsid w:val="0060122C"/>
    <w:rsid w:val="0060311C"/>
    <w:rsid w:val="006038E4"/>
    <w:rsid w:val="00604FF2"/>
    <w:rsid w:val="00606374"/>
    <w:rsid w:val="00610647"/>
    <w:rsid w:val="00612F74"/>
    <w:rsid w:val="00614972"/>
    <w:rsid w:val="00615A90"/>
    <w:rsid w:val="0061750F"/>
    <w:rsid w:val="00620621"/>
    <w:rsid w:val="00620ACD"/>
    <w:rsid w:val="00620CC8"/>
    <w:rsid w:val="00622568"/>
    <w:rsid w:val="00624C28"/>
    <w:rsid w:val="0062613D"/>
    <w:rsid w:val="00632824"/>
    <w:rsid w:val="00633434"/>
    <w:rsid w:val="00633599"/>
    <w:rsid w:val="00633AC4"/>
    <w:rsid w:val="0063498E"/>
    <w:rsid w:val="00635726"/>
    <w:rsid w:val="00635C05"/>
    <w:rsid w:val="0064032A"/>
    <w:rsid w:val="006415A9"/>
    <w:rsid w:val="00642F0A"/>
    <w:rsid w:val="00643446"/>
    <w:rsid w:val="00643C61"/>
    <w:rsid w:val="006459EF"/>
    <w:rsid w:val="0064647B"/>
    <w:rsid w:val="00646C37"/>
    <w:rsid w:val="00646C6E"/>
    <w:rsid w:val="00650538"/>
    <w:rsid w:val="006515ED"/>
    <w:rsid w:val="00654888"/>
    <w:rsid w:val="00654BBC"/>
    <w:rsid w:val="0065633D"/>
    <w:rsid w:val="0065650E"/>
    <w:rsid w:val="00657F42"/>
    <w:rsid w:val="00662648"/>
    <w:rsid w:val="00662AC7"/>
    <w:rsid w:val="006653E0"/>
    <w:rsid w:val="00667988"/>
    <w:rsid w:val="00673D53"/>
    <w:rsid w:val="006768C5"/>
    <w:rsid w:val="00677A8E"/>
    <w:rsid w:val="00677D0E"/>
    <w:rsid w:val="00680F75"/>
    <w:rsid w:val="00681F59"/>
    <w:rsid w:val="00683B81"/>
    <w:rsid w:val="0068731D"/>
    <w:rsid w:val="00690F27"/>
    <w:rsid w:val="00694968"/>
    <w:rsid w:val="00695B3A"/>
    <w:rsid w:val="0069723F"/>
    <w:rsid w:val="006A0686"/>
    <w:rsid w:val="006A0757"/>
    <w:rsid w:val="006A0E53"/>
    <w:rsid w:val="006A11E0"/>
    <w:rsid w:val="006A1EB7"/>
    <w:rsid w:val="006A2923"/>
    <w:rsid w:val="006A3DC2"/>
    <w:rsid w:val="006A6C4F"/>
    <w:rsid w:val="006A6DA7"/>
    <w:rsid w:val="006A7414"/>
    <w:rsid w:val="006A75E5"/>
    <w:rsid w:val="006B0EB4"/>
    <w:rsid w:val="006B10D3"/>
    <w:rsid w:val="006B1320"/>
    <w:rsid w:val="006B4801"/>
    <w:rsid w:val="006B7778"/>
    <w:rsid w:val="006C2739"/>
    <w:rsid w:val="006C4064"/>
    <w:rsid w:val="006C4316"/>
    <w:rsid w:val="006C7CD1"/>
    <w:rsid w:val="006C7F51"/>
    <w:rsid w:val="006D1F57"/>
    <w:rsid w:val="006D3C47"/>
    <w:rsid w:val="006D4732"/>
    <w:rsid w:val="006D5CCC"/>
    <w:rsid w:val="006D692E"/>
    <w:rsid w:val="006E1A8F"/>
    <w:rsid w:val="006E238C"/>
    <w:rsid w:val="006E25B6"/>
    <w:rsid w:val="006E48A1"/>
    <w:rsid w:val="006E5C24"/>
    <w:rsid w:val="006E60F7"/>
    <w:rsid w:val="006E6569"/>
    <w:rsid w:val="006E7D81"/>
    <w:rsid w:val="006F03B5"/>
    <w:rsid w:val="006F0D77"/>
    <w:rsid w:val="006F2FDF"/>
    <w:rsid w:val="006F4538"/>
    <w:rsid w:val="006F46DD"/>
    <w:rsid w:val="006F5B0F"/>
    <w:rsid w:val="006F5D51"/>
    <w:rsid w:val="006F702B"/>
    <w:rsid w:val="006F7537"/>
    <w:rsid w:val="007009DB"/>
    <w:rsid w:val="00701D60"/>
    <w:rsid w:val="0070256B"/>
    <w:rsid w:val="00703695"/>
    <w:rsid w:val="00703EBA"/>
    <w:rsid w:val="0070642E"/>
    <w:rsid w:val="007078D8"/>
    <w:rsid w:val="00710352"/>
    <w:rsid w:val="0071038F"/>
    <w:rsid w:val="00710725"/>
    <w:rsid w:val="00714F30"/>
    <w:rsid w:val="00717C83"/>
    <w:rsid w:val="00720F6B"/>
    <w:rsid w:val="007213F4"/>
    <w:rsid w:val="00721748"/>
    <w:rsid w:val="00722F6F"/>
    <w:rsid w:val="0072375D"/>
    <w:rsid w:val="007258AC"/>
    <w:rsid w:val="00725924"/>
    <w:rsid w:val="007262CF"/>
    <w:rsid w:val="00726B31"/>
    <w:rsid w:val="00726C7C"/>
    <w:rsid w:val="00727CBA"/>
    <w:rsid w:val="0073200E"/>
    <w:rsid w:val="00732530"/>
    <w:rsid w:val="00732CC4"/>
    <w:rsid w:val="00733268"/>
    <w:rsid w:val="007338A8"/>
    <w:rsid w:val="007369AF"/>
    <w:rsid w:val="0073746D"/>
    <w:rsid w:val="007417B6"/>
    <w:rsid w:val="00741C39"/>
    <w:rsid w:val="00742D1B"/>
    <w:rsid w:val="0074495C"/>
    <w:rsid w:val="00745BBA"/>
    <w:rsid w:val="00747F9A"/>
    <w:rsid w:val="00750AF1"/>
    <w:rsid w:val="00751A84"/>
    <w:rsid w:val="007529CA"/>
    <w:rsid w:val="00752C3B"/>
    <w:rsid w:val="00752FD5"/>
    <w:rsid w:val="007540F2"/>
    <w:rsid w:val="007558AC"/>
    <w:rsid w:val="00756528"/>
    <w:rsid w:val="007577D3"/>
    <w:rsid w:val="007607D1"/>
    <w:rsid w:val="007607D6"/>
    <w:rsid w:val="00765023"/>
    <w:rsid w:val="00766CB9"/>
    <w:rsid w:val="00767809"/>
    <w:rsid w:val="00770A3C"/>
    <w:rsid w:val="007713E8"/>
    <w:rsid w:val="007727F5"/>
    <w:rsid w:val="00774CCF"/>
    <w:rsid w:val="00777BAB"/>
    <w:rsid w:val="00782BDC"/>
    <w:rsid w:val="007831EA"/>
    <w:rsid w:val="00783FD4"/>
    <w:rsid w:val="00784776"/>
    <w:rsid w:val="00784B8F"/>
    <w:rsid w:val="007856C5"/>
    <w:rsid w:val="00786F3E"/>
    <w:rsid w:val="00790BE2"/>
    <w:rsid w:val="00792F5B"/>
    <w:rsid w:val="00796A6F"/>
    <w:rsid w:val="007A213E"/>
    <w:rsid w:val="007A3DBF"/>
    <w:rsid w:val="007A3FF8"/>
    <w:rsid w:val="007A488E"/>
    <w:rsid w:val="007A6DCC"/>
    <w:rsid w:val="007A7311"/>
    <w:rsid w:val="007B189B"/>
    <w:rsid w:val="007B364E"/>
    <w:rsid w:val="007B6B94"/>
    <w:rsid w:val="007B6F13"/>
    <w:rsid w:val="007C0E48"/>
    <w:rsid w:val="007C1303"/>
    <w:rsid w:val="007C5B0B"/>
    <w:rsid w:val="007C76DB"/>
    <w:rsid w:val="007C7731"/>
    <w:rsid w:val="007D0769"/>
    <w:rsid w:val="007D575A"/>
    <w:rsid w:val="007D678A"/>
    <w:rsid w:val="007D6D40"/>
    <w:rsid w:val="007D7623"/>
    <w:rsid w:val="007E02E2"/>
    <w:rsid w:val="007E0A31"/>
    <w:rsid w:val="007E2149"/>
    <w:rsid w:val="007E3982"/>
    <w:rsid w:val="007E45F3"/>
    <w:rsid w:val="007E679B"/>
    <w:rsid w:val="007F237D"/>
    <w:rsid w:val="007F2FD9"/>
    <w:rsid w:val="00800186"/>
    <w:rsid w:val="00801672"/>
    <w:rsid w:val="00802FA8"/>
    <w:rsid w:val="00803D9A"/>
    <w:rsid w:val="0080456B"/>
    <w:rsid w:val="00810CF2"/>
    <w:rsid w:val="00812831"/>
    <w:rsid w:val="0081472A"/>
    <w:rsid w:val="00814C35"/>
    <w:rsid w:val="0081518B"/>
    <w:rsid w:val="00815D23"/>
    <w:rsid w:val="008161DD"/>
    <w:rsid w:val="00816A9F"/>
    <w:rsid w:val="008219E6"/>
    <w:rsid w:val="00821AE4"/>
    <w:rsid w:val="00822BAD"/>
    <w:rsid w:val="008236AE"/>
    <w:rsid w:val="00824513"/>
    <w:rsid w:val="00825DEF"/>
    <w:rsid w:val="0082752A"/>
    <w:rsid w:val="00827968"/>
    <w:rsid w:val="00831F14"/>
    <w:rsid w:val="00833FC8"/>
    <w:rsid w:val="00834A39"/>
    <w:rsid w:val="00835724"/>
    <w:rsid w:val="00836138"/>
    <w:rsid w:val="00836763"/>
    <w:rsid w:val="00836A5C"/>
    <w:rsid w:val="00836B6B"/>
    <w:rsid w:val="00837550"/>
    <w:rsid w:val="00840BBA"/>
    <w:rsid w:val="00840CDA"/>
    <w:rsid w:val="00844CCF"/>
    <w:rsid w:val="00846C85"/>
    <w:rsid w:val="008510EC"/>
    <w:rsid w:val="00851E1E"/>
    <w:rsid w:val="008534F2"/>
    <w:rsid w:val="008556F5"/>
    <w:rsid w:val="00855FE0"/>
    <w:rsid w:val="008570D6"/>
    <w:rsid w:val="008574CC"/>
    <w:rsid w:val="0085777A"/>
    <w:rsid w:val="00860534"/>
    <w:rsid w:val="00861373"/>
    <w:rsid w:val="008619F3"/>
    <w:rsid w:val="0086348F"/>
    <w:rsid w:val="008649E6"/>
    <w:rsid w:val="00871437"/>
    <w:rsid w:val="008732A8"/>
    <w:rsid w:val="0087471E"/>
    <w:rsid w:val="0087472C"/>
    <w:rsid w:val="00876B08"/>
    <w:rsid w:val="00876DC8"/>
    <w:rsid w:val="00882C8D"/>
    <w:rsid w:val="00882DD9"/>
    <w:rsid w:val="00885D6A"/>
    <w:rsid w:val="00886745"/>
    <w:rsid w:val="00886E49"/>
    <w:rsid w:val="00887ECE"/>
    <w:rsid w:val="00891290"/>
    <w:rsid w:val="00891849"/>
    <w:rsid w:val="00891DCD"/>
    <w:rsid w:val="00896F22"/>
    <w:rsid w:val="008A03C4"/>
    <w:rsid w:val="008A07F1"/>
    <w:rsid w:val="008A2E45"/>
    <w:rsid w:val="008A36BF"/>
    <w:rsid w:val="008A42CE"/>
    <w:rsid w:val="008A4E96"/>
    <w:rsid w:val="008A6229"/>
    <w:rsid w:val="008B0174"/>
    <w:rsid w:val="008B1928"/>
    <w:rsid w:val="008B2DAD"/>
    <w:rsid w:val="008B3226"/>
    <w:rsid w:val="008B33C4"/>
    <w:rsid w:val="008B34A8"/>
    <w:rsid w:val="008B35A9"/>
    <w:rsid w:val="008B37B4"/>
    <w:rsid w:val="008B4D90"/>
    <w:rsid w:val="008B70CE"/>
    <w:rsid w:val="008B7F90"/>
    <w:rsid w:val="008C282A"/>
    <w:rsid w:val="008C37E4"/>
    <w:rsid w:val="008C439A"/>
    <w:rsid w:val="008C4A7F"/>
    <w:rsid w:val="008C6BDE"/>
    <w:rsid w:val="008C780E"/>
    <w:rsid w:val="008D322E"/>
    <w:rsid w:val="008D557C"/>
    <w:rsid w:val="008D56FA"/>
    <w:rsid w:val="008D64F5"/>
    <w:rsid w:val="008D690E"/>
    <w:rsid w:val="008D75C6"/>
    <w:rsid w:val="008E0C6D"/>
    <w:rsid w:val="008E158E"/>
    <w:rsid w:val="008E2528"/>
    <w:rsid w:val="008E2ADD"/>
    <w:rsid w:val="008E4BBB"/>
    <w:rsid w:val="008E4C23"/>
    <w:rsid w:val="008E688C"/>
    <w:rsid w:val="008E6BB6"/>
    <w:rsid w:val="008E73F2"/>
    <w:rsid w:val="008F0A40"/>
    <w:rsid w:val="008F1096"/>
    <w:rsid w:val="008F2F6E"/>
    <w:rsid w:val="008F5355"/>
    <w:rsid w:val="008F54FD"/>
    <w:rsid w:val="008F5BB5"/>
    <w:rsid w:val="00903C97"/>
    <w:rsid w:val="0090492C"/>
    <w:rsid w:val="009065DB"/>
    <w:rsid w:val="0090687F"/>
    <w:rsid w:val="00907098"/>
    <w:rsid w:val="009102BA"/>
    <w:rsid w:val="009126AF"/>
    <w:rsid w:val="009138FD"/>
    <w:rsid w:val="00914B26"/>
    <w:rsid w:val="00914EB6"/>
    <w:rsid w:val="009154E4"/>
    <w:rsid w:val="00915FB4"/>
    <w:rsid w:val="0092015E"/>
    <w:rsid w:val="00920607"/>
    <w:rsid w:val="00921EDF"/>
    <w:rsid w:val="00921FAB"/>
    <w:rsid w:val="00922BE1"/>
    <w:rsid w:val="0093114B"/>
    <w:rsid w:val="00934060"/>
    <w:rsid w:val="009340B1"/>
    <w:rsid w:val="00934C69"/>
    <w:rsid w:val="00935474"/>
    <w:rsid w:val="00935769"/>
    <w:rsid w:val="00935AD0"/>
    <w:rsid w:val="0093682E"/>
    <w:rsid w:val="009374B6"/>
    <w:rsid w:val="0094201E"/>
    <w:rsid w:val="00942163"/>
    <w:rsid w:val="00942819"/>
    <w:rsid w:val="00942C30"/>
    <w:rsid w:val="009463D6"/>
    <w:rsid w:val="00950208"/>
    <w:rsid w:val="00954538"/>
    <w:rsid w:val="009553D7"/>
    <w:rsid w:val="009562EE"/>
    <w:rsid w:val="0095753B"/>
    <w:rsid w:val="00960705"/>
    <w:rsid w:val="00960B68"/>
    <w:rsid w:val="009610B9"/>
    <w:rsid w:val="009635DA"/>
    <w:rsid w:val="00966087"/>
    <w:rsid w:val="00966478"/>
    <w:rsid w:val="009702DC"/>
    <w:rsid w:val="00970A71"/>
    <w:rsid w:val="009710EC"/>
    <w:rsid w:val="00973016"/>
    <w:rsid w:val="00973180"/>
    <w:rsid w:val="00973966"/>
    <w:rsid w:val="009751C6"/>
    <w:rsid w:val="00975259"/>
    <w:rsid w:val="00975B8A"/>
    <w:rsid w:val="0097657E"/>
    <w:rsid w:val="0097751A"/>
    <w:rsid w:val="0098020A"/>
    <w:rsid w:val="00981081"/>
    <w:rsid w:val="00981DF1"/>
    <w:rsid w:val="009828B5"/>
    <w:rsid w:val="00984933"/>
    <w:rsid w:val="0098497C"/>
    <w:rsid w:val="0098656D"/>
    <w:rsid w:val="009876AD"/>
    <w:rsid w:val="00990136"/>
    <w:rsid w:val="009906F2"/>
    <w:rsid w:val="00993C19"/>
    <w:rsid w:val="00995CBE"/>
    <w:rsid w:val="009968FA"/>
    <w:rsid w:val="00996B51"/>
    <w:rsid w:val="009A159F"/>
    <w:rsid w:val="009A1CB7"/>
    <w:rsid w:val="009A4D50"/>
    <w:rsid w:val="009A6150"/>
    <w:rsid w:val="009A66C2"/>
    <w:rsid w:val="009B2F80"/>
    <w:rsid w:val="009B4ABA"/>
    <w:rsid w:val="009C083D"/>
    <w:rsid w:val="009C0AA4"/>
    <w:rsid w:val="009C0D32"/>
    <w:rsid w:val="009C13FF"/>
    <w:rsid w:val="009C2C64"/>
    <w:rsid w:val="009C384C"/>
    <w:rsid w:val="009C391A"/>
    <w:rsid w:val="009C4378"/>
    <w:rsid w:val="009C49C5"/>
    <w:rsid w:val="009C5181"/>
    <w:rsid w:val="009C6D7B"/>
    <w:rsid w:val="009C6E84"/>
    <w:rsid w:val="009C7BD5"/>
    <w:rsid w:val="009D0D56"/>
    <w:rsid w:val="009D193E"/>
    <w:rsid w:val="009D19F2"/>
    <w:rsid w:val="009D3906"/>
    <w:rsid w:val="009D549B"/>
    <w:rsid w:val="009D6F20"/>
    <w:rsid w:val="009E3119"/>
    <w:rsid w:val="009E43E9"/>
    <w:rsid w:val="009E4435"/>
    <w:rsid w:val="009E5572"/>
    <w:rsid w:val="009E5E45"/>
    <w:rsid w:val="009E63AA"/>
    <w:rsid w:val="009E642C"/>
    <w:rsid w:val="009F0C51"/>
    <w:rsid w:val="009F0ED4"/>
    <w:rsid w:val="009F133A"/>
    <w:rsid w:val="009F3595"/>
    <w:rsid w:val="009F5281"/>
    <w:rsid w:val="009F5A18"/>
    <w:rsid w:val="009F5DEA"/>
    <w:rsid w:val="009F797B"/>
    <w:rsid w:val="009F7A90"/>
    <w:rsid w:val="00A00B56"/>
    <w:rsid w:val="00A02279"/>
    <w:rsid w:val="00A02B85"/>
    <w:rsid w:val="00A03106"/>
    <w:rsid w:val="00A05DE5"/>
    <w:rsid w:val="00A0681C"/>
    <w:rsid w:val="00A103C6"/>
    <w:rsid w:val="00A12B0A"/>
    <w:rsid w:val="00A13A1C"/>
    <w:rsid w:val="00A15B22"/>
    <w:rsid w:val="00A16925"/>
    <w:rsid w:val="00A16FA0"/>
    <w:rsid w:val="00A201F2"/>
    <w:rsid w:val="00A20CCD"/>
    <w:rsid w:val="00A22B52"/>
    <w:rsid w:val="00A27AC4"/>
    <w:rsid w:val="00A30A4E"/>
    <w:rsid w:val="00A31EE7"/>
    <w:rsid w:val="00A327CD"/>
    <w:rsid w:val="00A328F9"/>
    <w:rsid w:val="00A33634"/>
    <w:rsid w:val="00A3418B"/>
    <w:rsid w:val="00A35DFF"/>
    <w:rsid w:val="00A362FC"/>
    <w:rsid w:val="00A41282"/>
    <w:rsid w:val="00A413E1"/>
    <w:rsid w:val="00A41F5A"/>
    <w:rsid w:val="00A42193"/>
    <w:rsid w:val="00A44039"/>
    <w:rsid w:val="00A44860"/>
    <w:rsid w:val="00A4781B"/>
    <w:rsid w:val="00A50CC7"/>
    <w:rsid w:val="00A52661"/>
    <w:rsid w:val="00A52D46"/>
    <w:rsid w:val="00A54F9E"/>
    <w:rsid w:val="00A55354"/>
    <w:rsid w:val="00A5690B"/>
    <w:rsid w:val="00A57877"/>
    <w:rsid w:val="00A60976"/>
    <w:rsid w:val="00A62BBD"/>
    <w:rsid w:val="00A6648E"/>
    <w:rsid w:val="00A7237C"/>
    <w:rsid w:val="00A731BD"/>
    <w:rsid w:val="00A73B94"/>
    <w:rsid w:val="00A758B3"/>
    <w:rsid w:val="00A8119E"/>
    <w:rsid w:val="00A81DFD"/>
    <w:rsid w:val="00A82C07"/>
    <w:rsid w:val="00A83C27"/>
    <w:rsid w:val="00A83E31"/>
    <w:rsid w:val="00A84194"/>
    <w:rsid w:val="00A85247"/>
    <w:rsid w:val="00A87E72"/>
    <w:rsid w:val="00A910A5"/>
    <w:rsid w:val="00A91736"/>
    <w:rsid w:val="00A919B0"/>
    <w:rsid w:val="00A93CDB"/>
    <w:rsid w:val="00A9426B"/>
    <w:rsid w:val="00A9561E"/>
    <w:rsid w:val="00A95724"/>
    <w:rsid w:val="00A9684F"/>
    <w:rsid w:val="00AA27F4"/>
    <w:rsid w:val="00AA2940"/>
    <w:rsid w:val="00AA2D94"/>
    <w:rsid w:val="00AA450C"/>
    <w:rsid w:val="00AA4941"/>
    <w:rsid w:val="00AA6119"/>
    <w:rsid w:val="00AA7457"/>
    <w:rsid w:val="00AB2CE5"/>
    <w:rsid w:val="00AB2EAC"/>
    <w:rsid w:val="00AB3424"/>
    <w:rsid w:val="00AB4559"/>
    <w:rsid w:val="00AB556C"/>
    <w:rsid w:val="00AB5D37"/>
    <w:rsid w:val="00AB685D"/>
    <w:rsid w:val="00AB7D0F"/>
    <w:rsid w:val="00AC11FC"/>
    <w:rsid w:val="00AC227C"/>
    <w:rsid w:val="00AC22B5"/>
    <w:rsid w:val="00AC31AF"/>
    <w:rsid w:val="00AD14DD"/>
    <w:rsid w:val="00AD24AA"/>
    <w:rsid w:val="00AD3602"/>
    <w:rsid w:val="00AD4756"/>
    <w:rsid w:val="00AD58A1"/>
    <w:rsid w:val="00AD6057"/>
    <w:rsid w:val="00AD659C"/>
    <w:rsid w:val="00AD7913"/>
    <w:rsid w:val="00AE2EBE"/>
    <w:rsid w:val="00AE3040"/>
    <w:rsid w:val="00AE3230"/>
    <w:rsid w:val="00AE4698"/>
    <w:rsid w:val="00AE6861"/>
    <w:rsid w:val="00AF05CA"/>
    <w:rsid w:val="00AF27E7"/>
    <w:rsid w:val="00AF2CFD"/>
    <w:rsid w:val="00AF5D6A"/>
    <w:rsid w:val="00AF5E12"/>
    <w:rsid w:val="00AF6946"/>
    <w:rsid w:val="00B00E60"/>
    <w:rsid w:val="00B01843"/>
    <w:rsid w:val="00B03057"/>
    <w:rsid w:val="00B03B56"/>
    <w:rsid w:val="00B04539"/>
    <w:rsid w:val="00B058FE"/>
    <w:rsid w:val="00B0659C"/>
    <w:rsid w:val="00B065CC"/>
    <w:rsid w:val="00B067D0"/>
    <w:rsid w:val="00B11970"/>
    <w:rsid w:val="00B135FB"/>
    <w:rsid w:val="00B13609"/>
    <w:rsid w:val="00B139F1"/>
    <w:rsid w:val="00B1652E"/>
    <w:rsid w:val="00B200D8"/>
    <w:rsid w:val="00B2065B"/>
    <w:rsid w:val="00B20E93"/>
    <w:rsid w:val="00B20FC9"/>
    <w:rsid w:val="00B21C4A"/>
    <w:rsid w:val="00B2281F"/>
    <w:rsid w:val="00B23424"/>
    <w:rsid w:val="00B2494D"/>
    <w:rsid w:val="00B249F9"/>
    <w:rsid w:val="00B3151F"/>
    <w:rsid w:val="00B31E0B"/>
    <w:rsid w:val="00B32585"/>
    <w:rsid w:val="00B32A26"/>
    <w:rsid w:val="00B34B5B"/>
    <w:rsid w:val="00B363EB"/>
    <w:rsid w:val="00B36DCB"/>
    <w:rsid w:val="00B3752A"/>
    <w:rsid w:val="00B412C3"/>
    <w:rsid w:val="00B42C54"/>
    <w:rsid w:val="00B45020"/>
    <w:rsid w:val="00B451F4"/>
    <w:rsid w:val="00B45B8D"/>
    <w:rsid w:val="00B45F9D"/>
    <w:rsid w:val="00B4637C"/>
    <w:rsid w:val="00B46699"/>
    <w:rsid w:val="00B46900"/>
    <w:rsid w:val="00B51465"/>
    <w:rsid w:val="00B526B7"/>
    <w:rsid w:val="00B5408C"/>
    <w:rsid w:val="00B55A19"/>
    <w:rsid w:val="00B5623D"/>
    <w:rsid w:val="00B621DD"/>
    <w:rsid w:val="00B624E6"/>
    <w:rsid w:val="00B626AD"/>
    <w:rsid w:val="00B63384"/>
    <w:rsid w:val="00B63D0B"/>
    <w:rsid w:val="00B65F18"/>
    <w:rsid w:val="00B66739"/>
    <w:rsid w:val="00B70D06"/>
    <w:rsid w:val="00B72ED8"/>
    <w:rsid w:val="00B734EC"/>
    <w:rsid w:val="00B73F8F"/>
    <w:rsid w:val="00B740E2"/>
    <w:rsid w:val="00B74A3C"/>
    <w:rsid w:val="00B74AF5"/>
    <w:rsid w:val="00B7786E"/>
    <w:rsid w:val="00B77CE1"/>
    <w:rsid w:val="00B80F41"/>
    <w:rsid w:val="00B814D2"/>
    <w:rsid w:val="00B83A93"/>
    <w:rsid w:val="00B8465B"/>
    <w:rsid w:val="00B90469"/>
    <w:rsid w:val="00B90808"/>
    <w:rsid w:val="00B91B7D"/>
    <w:rsid w:val="00B95490"/>
    <w:rsid w:val="00BA0689"/>
    <w:rsid w:val="00BA06A4"/>
    <w:rsid w:val="00BA070C"/>
    <w:rsid w:val="00BA4C17"/>
    <w:rsid w:val="00BA53FD"/>
    <w:rsid w:val="00BA5F7D"/>
    <w:rsid w:val="00BA61B8"/>
    <w:rsid w:val="00BA7E96"/>
    <w:rsid w:val="00BB1A9E"/>
    <w:rsid w:val="00BB5D35"/>
    <w:rsid w:val="00BB627F"/>
    <w:rsid w:val="00BB62A3"/>
    <w:rsid w:val="00BB6F58"/>
    <w:rsid w:val="00BC112D"/>
    <w:rsid w:val="00BC210A"/>
    <w:rsid w:val="00BC5541"/>
    <w:rsid w:val="00BC6224"/>
    <w:rsid w:val="00BC69EE"/>
    <w:rsid w:val="00BC6B50"/>
    <w:rsid w:val="00BC6E59"/>
    <w:rsid w:val="00BD009B"/>
    <w:rsid w:val="00BD1F95"/>
    <w:rsid w:val="00BD20EF"/>
    <w:rsid w:val="00BD4458"/>
    <w:rsid w:val="00BD50D2"/>
    <w:rsid w:val="00BD59B8"/>
    <w:rsid w:val="00BD5C9B"/>
    <w:rsid w:val="00BD7453"/>
    <w:rsid w:val="00BD7716"/>
    <w:rsid w:val="00BE053A"/>
    <w:rsid w:val="00BE0541"/>
    <w:rsid w:val="00BE069D"/>
    <w:rsid w:val="00BE0A78"/>
    <w:rsid w:val="00BE0F23"/>
    <w:rsid w:val="00BE1DD4"/>
    <w:rsid w:val="00BE3E2F"/>
    <w:rsid w:val="00BE6145"/>
    <w:rsid w:val="00BE6D0E"/>
    <w:rsid w:val="00BE6FDC"/>
    <w:rsid w:val="00BF0C98"/>
    <w:rsid w:val="00BF1443"/>
    <w:rsid w:val="00BF1818"/>
    <w:rsid w:val="00BF2E13"/>
    <w:rsid w:val="00BF45E7"/>
    <w:rsid w:val="00C00B0D"/>
    <w:rsid w:val="00C02B57"/>
    <w:rsid w:val="00C03335"/>
    <w:rsid w:val="00C04A98"/>
    <w:rsid w:val="00C05579"/>
    <w:rsid w:val="00C073AC"/>
    <w:rsid w:val="00C0750F"/>
    <w:rsid w:val="00C108E1"/>
    <w:rsid w:val="00C10DA7"/>
    <w:rsid w:val="00C12F0D"/>
    <w:rsid w:val="00C13D32"/>
    <w:rsid w:val="00C13FBD"/>
    <w:rsid w:val="00C141C1"/>
    <w:rsid w:val="00C14A67"/>
    <w:rsid w:val="00C156A4"/>
    <w:rsid w:val="00C15E40"/>
    <w:rsid w:val="00C16818"/>
    <w:rsid w:val="00C16F70"/>
    <w:rsid w:val="00C205CA"/>
    <w:rsid w:val="00C20689"/>
    <w:rsid w:val="00C2224B"/>
    <w:rsid w:val="00C24710"/>
    <w:rsid w:val="00C25C82"/>
    <w:rsid w:val="00C27128"/>
    <w:rsid w:val="00C30F35"/>
    <w:rsid w:val="00C34341"/>
    <w:rsid w:val="00C34547"/>
    <w:rsid w:val="00C36129"/>
    <w:rsid w:val="00C362A5"/>
    <w:rsid w:val="00C36712"/>
    <w:rsid w:val="00C36F30"/>
    <w:rsid w:val="00C41667"/>
    <w:rsid w:val="00C418EE"/>
    <w:rsid w:val="00C42787"/>
    <w:rsid w:val="00C427F0"/>
    <w:rsid w:val="00C43B9F"/>
    <w:rsid w:val="00C440AA"/>
    <w:rsid w:val="00C46B45"/>
    <w:rsid w:val="00C47392"/>
    <w:rsid w:val="00C47AFC"/>
    <w:rsid w:val="00C47F8D"/>
    <w:rsid w:val="00C54100"/>
    <w:rsid w:val="00C545B5"/>
    <w:rsid w:val="00C563EC"/>
    <w:rsid w:val="00C573BF"/>
    <w:rsid w:val="00C57DAB"/>
    <w:rsid w:val="00C57EA3"/>
    <w:rsid w:val="00C61D24"/>
    <w:rsid w:val="00C63435"/>
    <w:rsid w:val="00C65D12"/>
    <w:rsid w:val="00C67877"/>
    <w:rsid w:val="00C71E9B"/>
    <w:rsid w:val="00C74DAF"/>
    <w:rsid w:val="00C7647F"/>
    <w:rsid w:val="00C76985"/>
    <w:rsid w:val="00C77519"/>
    <w:rsid w:val="00C80B3B"/>
    <w:rsid w:val="00C80C72"/>
    <w:rsid w:val="00C81021"/>
    <w:rsid w:val="00C811AD"/>
    <w:rsid w:val="00C83F75"/>
    <w:rsid w:val="00C8566E"/>
    <w:rsid w:val="00C86115"/>
    <w:rsid w:val="00C92D6D"/>
    <w:rsid w:val="00C950E2"/>
    <w:rsid w:val="00C95218"/>
    <w:rsid w:val="00C955D7"/>
    <w:rsid w:val="00C95618"/>
    <w:rsid w:val="00C95FF2"/>
    <w:rsid w:val="00C96CD3"/>
    <w:rsid w:val="00C97E03"/>
    <w:rsid w:val="00C97F0F"/>
    <w:rsid w:val="00C97FE2"/>
    <w:rsid w:val="00CA1226"/>
    <w:rsid w:val="00CA15ED"/>
    <w:rsid w:val="00CA16DF"/>
    <w:rsid w:val="00CA2E75"/>
    <w:rsid w:val="00CA3936"/>
    <w:rsid w:val="00CA4095"/>
    <w:rsid w:val="00CA6178"/>
    <w:rsid w:val="00CB1CF8"/>
    <w:rsid w:val="00CB28FC"/>
    <w:rsid w:val="00CC0332"/>
    <w:rsid w:val="00CC10D5"/>
    <w:rsid w:val="00CC13EE"/>
    <w:rsid w:val="00CC2913"/>
    <w:rsid w:val="00CC4A6C"/>
    <w:rsid w:val="00CC5C82"/>
    <w:rsid w:val="00CD0CC8"/>
    <w:rsid w:val="00CD0CE0"/>
    <w:rsid w:val="00CD1505"/>
    <w:rsid w:val="00CD2343"/>
    <w:rsid w:val="00CD5E41"/>
    <w:rsid w:val="00CD70B1"/>
    <w:rsid w:val="00CE2D2B"/>
    <w:rsid w:val="00CE2EAF"/>
    <w:rsid w:val="00CE403C"/>
    <w:rsid w:val="00CE5046"/>
    <w:rsid w:val="00CE5B42"/>
    <w:rsid w:val="00CE6C0E"/>
    <w:rsid w:val="00CE73DB"/>
    <w:rsid w:val="00CF0E30"/>
    <w:rsid w:val="00CF2C1A"/>
    <w:rsid w:val="00CF5F26"/>
    <w:rsid w:val="00CF6E56"/>
    <w:rsid w:val="00CF7C9E"/>
    <w:rsid w:val="00D00B19"/>
    <w:rsid w:val="00D0264A"/>
    <w:rsid w:val="00D0333D"/>
    <w:rsid w:val="00D04334"/>
    <w:rsid w:val="00D049BB"/>
    <w:rsid w:val="00D04EE7"/>
    <w:rsid w:val="00D04F86"/>
    <w:rsid w:val="00D107EB"/>
    <w:rsid w:val="00D11C0D"/>
    <w:rsid w:val="00D11D66"/>
    <w:rsid w:val="00D121FC"/>
    <w:rsid w:val="00D13DD9"/>
    <w:rsid w:val="00D13EA5"/>
    <w:rsid w:val="00D14CD1"/>
    <w:rsid w:val="00D15C48"/>
    <w:rsid w:val="00D17019"/>
    <w:rsid w:val="00D200FF"/>
    <w:rsid w:val="00D206AA"/>
    <w:rsid w:val="00D243DC"/>
    <w:rsid w:val="00D25D35"/>
    <w:rsid w:val="00D26685"/>
    <w:rsid w:val="00D274E5"/>
    <w:rsid w:val="00D3076C"/>
    <w:rsid w:val="00D3245E"/>
    <w:rsid w:val="00D336D8"/>
    <w:rsid w:val="00D35031"/>
    <w:rsid w:val="00D356D1"/>
    <w:rsid w:val="00D376AF"/>
    <w:rsid w:val="00D37D64"/>
    <w:rsid w:val="00D37F26"/>
    <w:rsid w:val="00D4116D"/>
    <w:rsid w:val="00D4156A"/>
    <w:rsid w:val="00D426F9"/>
    <w:rsid w:val="00D4365E"/>
    <w:rsid w:val="00D43839"/>
    <w:rsid w:val="00D43C09"/>
    <w:rsid w:val="00D440BD"/>
    <w:rsid w:val="00D442EF"/>
    <w:rsid w:val="00D474EB"/>
    <w:rsid w:val="00D47E88"/>
    <w:rsid w:val="00D512BB"/>
    <w:rsid w:val="00D51988"/>
    <w:rsid w:val="00D544C9"/>
    <w:rsid w:val="00D552D7"/>
    <w:rsid w:val="00D5647E"/>
    <w:rsid w:val="00D56E19"/>
    <w:rsid w:val="00D60CC6"/>
    <w:rsid w:val="00D60EA4"/>
    <w:rsid w:val="00D61226"/>
    <w:rsid w:val="00D61CF5"/>
    <w:rsid w:val="00D61E90"/>
    <w:rsid w:val="00D6229D"/>
    <w:rsid w:val="00D627B3"/>
    <w:rsid w:val="00D64791"/>
    <w:rsid w:val="00D65175"/>
    <w:rsid w:val="00D65C93"/>
    <w:rsid w:val="00D7181D"/>
    <w:rsid w:val="00D71FE6"/>
    <w:rsid w:val="00D7375E"/>
    <w:rsid w:val="00D75CFA"/>
    <w:rsid w:val="00D774FA"/>
    <w:rsid w:val="00D7797B"/>
    <w:rsid w:val="00D77BE6"/>
    <w:rsid w:val="00D77F2D"/>
    <w:rsid w:val="00D80D3C"/>
    <w:rsid w:val="00D810A9"/>
    <w:rsid w:val="00D81168"/>
    <w:rsid w:val="00D816A6"/>
    <w:rsid w:val="00D83DCF"/>
    <w:rsid w:val="00D84D6F"/>
    <w:rsid w:val="00D84F6B"/>
    <w:rsid w:val="00D87E17"/>
    <w:rsid w:val="00D91410"/>
    <w:rsid w:val="00D91AFB"/>
    <w:rsid w:val="00D92F7A"/>
    <w:rsid w:val="00D948FF"/>
    <w:rsid w:val="00D94CBD"/>
    <w:rsid w:val="00D97353"/>
    <w:rsid w:val="00DA193A"/>
    <w:rsid w:val="00DA2E37"/>
    <w:rsid w:val="00DA377B"/>
    <w:rsid w:val="00DA3963"/>
    <w:rsid w:val="00DA4506"/>
    <w:rsid w:val="00DA47AB"/>
    <w:rsid w:val="00DA542D"/>
    <w:rsid w:val="00DA6F52"/>
    <w:rsid w:val="00DA7ADF"/>
    <w:rsid w:val="00DB05D3"/>
    <w:rsid w:val="00DB39E8"/>
    <w:rsid w:val="00DB3EB7"/>
    <w:rsid w:val="00DB4EFB"/>
    <w:rsid w:val="00DB6431"/>
    <w:rsid w:val="00DB6A7E"/>
    <w:rsid w:val="00DB7187"/>
    <w:rsid w:val="00DC0018"/>
    <w:rsid w:val="00DC4025"/>
    <w:rsid w:val="00DC54F8"/>
    <w:rsid w:val="00DC5F18"/>
    <w:rsid w:val="00DC600A"/>
    <w:rsid w:val="00DC6531"/>
    <w:rsid w:val="00DC7625"/>
    <w:rsid w:val="00DC7F0F"/>
    <w:rsid w:val="00DD0E14"/>
    <w:rsid w:val="00DD65DE"/>
    <w:rsid w:val="00DD6EA8"/>
    <w:rsid w:val="00DD735B"/>
    <w:rsid w:val="00DD7A40"/>
    <w:rsid w:val="00DD7D3A"/>
    <w:rsid w:val="00DE0FC5"/>
    <w:rsid w:val="00DE23C9"/>
    <w:rsid w:val="00DE34B4"/>
    <w:rsid w:val="00DE34FA"/>
    <w:rsid w:val="00DE5AA8"/>
    <w:rsid w:val="00DF15C3"/>
    <w:rsid w:val="00DF168D"/>
    <w:rsid w:val="00DF3C41"/>
    <w:rsid w:val="00DF6138"/>
    <w:rsid w:val="00DF77E5"/>
    <w:rsid w:val="00E00BA9"/>
    <w:rsid w:val="00E04559"/>
    <w:rsid w:val="00E04666"/>
    <w:rsid w:val="00E04D7B"/>
    <w:rsid w:val="00E05DFB"/>
    <w:rsid w:val="00E10586"/>
    <w:rsid w:val="00E105A8"/>
    <w:rsid w:val="00E12E18"/>
    <w:rsid w:val="00E12EC8"/>
    <w:rsid w:val="00E1317D"/>
    <w:rsid w:val="00E13AC9"/>
    <w:rsid w:val="00E14503"/>
    <w:rsid w:val="00E14F50"/>
    <w:rsid w:val="00E169D4"/>
    <w:rsid w:val="00E20A60"/>
    <w:rsid w:val="00E2276D"/>
    <w:rsid w:val="00E24726"/>
    <w:rsid w:val="00E25772"/>
    <w:rsid w:val="00E26DA7"/>
    <w:rsid w:val="00E26E78"/>
    <w:rsid w:val="00E31061"/>
    <w:rsid w:val="00E32932"/>
    <w:rsid w:val="00E335FF"/>
    <w:rsid w:val="00E36418"/>
    <w:rsid w:val="00E4105F"/>
    <w:rsid w:val="00E42E0A"/>
    <w:rsid w:val="00E43365"/>
    <w:rsid w:val="00E44196"/>
    <w:rsid w:val="00E44D48"/>
    <w:rsid w:val="00E46738"/>
    <w:rsid w:val="00E51C82"/>
    <w:rsid w:val="00E527AE"/>
    <w:rsid w:val="00E53BE0"/>
    <w:rsid w:val="00E56A64"/>
    <w:rsid w:val="00E56F3A"/>
    <w:rsid w:val="00E571F8"/>
    <w:rsid w:val="00E57B8A"/>
    <w:rsid w:val="00E618B5"/>
    <w:rsid w:val="00E625ED"/>
    <w:rsid w:val="00E645DD"/>
    <w:rsid w:val="00E64BFC"/>
    <w:rsid w:val="00E6571F"/>
    <w:rsid w:val="00E657A8"/>
    <w:rsid w:val="00E66615"/>
    <w:rsid w:val="00E70E0C"/>
    <w:rsid w:val="00E724F1"/>
    <w:rsid w:val="00E75B23"/>
    <w:rsid w:val="00E80012"/>
    <w:rsid w:val="00E838BE"/>
    <w:rsid w:val="00E86961"/>
    <w:rsid w:val="00E86D7D"/>
    <w:rsid w:val="00E90F76"/>
    <w:rsid w:val="00E911F6"/>
    <w:rsid w:val="00E91593"/>
    <w:rsid w:val="00E9428C"/>
    <w:rsid w:val="00E9583C"/>
    <w:rsid w:val="00E959BC"/>
    <w:rsid w:val="00EA2333"/>
    <w:rsid w:val="00EA32FC"/>
    <w:rsid w:val="00EA5575"/>
    <w:rsid w:val="00EA567D"/>
    <w:rsid w:val="00EA7609"/>
    <w:rsid w:val="00EB1B1A"/>
    <w:rsid w:val="00EB443E"/>
    <w:rsid w:val="00EB50B6"/>
    <w:rsid w:val="00EB5FFE"/>
    <w:rsid w:val="00EB7F04"/>
    <w:rsid w:val="00EC0674"/>
    <w:rsid w:val="00EC1616"/>
    <w:rsid w:val="00EC1DC9"/>
    <w:rsid w:val="00EC24A7"/>
    <w:rsid w:val="00EC47DC"/>
    <w:rsid w:val="00EC5A9D"/>
    <w:rsid w:val="00EC61F0"/>
    <w:rsid w:val="00EC79E1"/>
    <w:rsid w:val="00EC7C19"/>
    <w:rsid w:val="00ED2E71"/>
    <w:rsid w:val="00ED4302"/>
    <w:rsid w:val="00ED4DD8"/>
    <w:rsid w:val="00ED53D9"/>
    <w:rsid w:val="00ED5B23"/>
    <w:rsid w:val="00ED76E7"/>
    <w:rsid w:val="00EE0361"/>
    <w:rsid w:val="00EE238D"/>
    <w:rsid w:val="00EE3A75"/>
    <w:rsid w:val="00EE657F"/>
    <w:rsid w:val="00EE7619"/>
    <w:rsid w:val="00EF0C12"/>
    <w:rsid w:val="00EF1657"/>
    <w:rsid w:val="00EF1C30"/>
    <w:rsid w:val="00EF289B"/>
    <w:rsid w:val="00EF3113"/>
    <w:rsid w:val="00EF343E"/>
    <w:rsid w:val="00EF3E03"/>
    <w:rsid w:val="00EF4F2F"/>
    <w:rsid w:val="00EF5A39"/>
    <w:rsid w:val="00EF670C"/>
    <w:rsid w:val="00EF6D40"/>
    <w:rsid w:val="00EF7892"/>
    <w:rsid w:val="00F03E77"/>
    <w:rsid w:val="00F05A4D"/>
    <w:rsid w:val="00F11E61"/>
    <w:rsid w:val="00F12F49"/>
    <w:rsid w:val="00F16B88"/>
    <w:rsid w:val="00F170A3"/>
    <w:rsid w:val="00F17E25"/>
    <w:rsid w:val="00F2047C"/>
    <w:rsid w:val="00F23895"/>
    <w:rsid w:val="00F263E1"/>
    <w:rsid w:val="00F2689D"/>
    <w:rsid w:val="00F3052E"/>
    <w:rsid w:val="00F30ED6"/>
    <w:rsid w:val="00F31BB9"/>
    <w:rsid w:val="00F3224D"/>
    <w:rsid w:val="00F323CF"/>
    <w:rsid w:val="00F32FFF"/>
    <w:rsid w:val="00F3355C"/>
    <w:rsid w:val="00F33BF4"/>
    <w:rsid w:val="00F370FB"/>
    <w:rsid w:val="00F4256E"/>
    <w:rsid w:val="00F42D82"/>
    <w:rsid w:val="00F43D69"/>
    <w:rsid w:val="00F4401D"/>
    <w:rsid w:val="00F45D2B"/>
    <w:rsid w:val="00F47029"/>
    <w:rsid w:val="00F52092"/>
    <w:rsid w:val="00F53D8A"/>
    <w:rsid w:val="00F54EEC"/>
    <w:rsid w:val="00F565C9"/>
    <w:rsid w:val="00F56A4F"/>
    <w:rsid w:val="00F56D36"/>
    <w:rsid w:val="00F61804"/>
    <w:rsid w:val="00F61B1B"/>
    <w:rsid w:val="00F624C7"/>
    <w:rsid w:val="00F64F82"/>
    <w:rsid w:val="00F65DBE"/>
    <w:rsid w:val="00F70137"/>
    <w:rsid w:val="00F70C95"/>
    <w:rsid w:val="00F72560"/>
    <w:rsid w:val="00F7374B"/>
    <w:rsid w:val="00F74507"/>
    <w:rsid w:val="00F763F1"/>
    <w:rsid w:val="00F77019"/>
    <w:rsid w:val="00F77999"/>
    <w:rsid w:val="00F81317"/>
    <w:rsid w:val="00F816C6"/>
    <w:rsid w:val="00F83565"/>
    <w:rsid w:val="00F86517"/>
    <w:rsid w:val="00F86622"/>
    <w:rsid w:val="00F87320"/>
    <w:rsid w:val="00F874BB"/>
    <w:rsid w:val="00F87AC3"/>
    <w:rsid w:val="00F9110A"/>
    <w:rsid w:val="00F930B5"/>
    <w:rsid w:val="00F93927"/>
    <w:rsid w:val="00F93A65"/>
    <w:rsid w:val="00F93CF9"/>
    <w:rsid w:val="00F95205"/>
    <w:rsid w:val="00FA0173"/>
    <w:rsid w:val="00FA17A6"/>
    <w:rsid w:val="00FA534C"/>
    <w:rsid w:val="00FB2102"/>
    <w:rsid w:val="00FB2413"/>
    <w:rsid w:val="00FB4005"/>
    <w:rsid w:val="00FB553B"/>
    <w:rsid w:val="00FB5AA0"/>
    <w:rsid w:val="00FC0D1B"/>
    <w:rsid w:val="00FC1458"/>
    <w:rsid w:val="00FC27CE"/>
    <w:rsid w:val="00FC2D30"/>
    <w:rsid w:val="00FC3972"/>
    <w:rsid w:val="00FC4C8A"/>
    <w:rsid w:val="00FC4F35"/>
    <w:rsid w:val="00FC4F37"/>
    <w:rsid w:val="00FC5902"/>
    <w:rsid w:val="00FC713F"/>
    <w:rsid w:val="00FC73C8"/>
    <w:rsid w:val="00FC7946"/>
    <w:rsid w:val="00FD2B74"/>
    <w:rsid w:val="00FD3864"/>
    <w:rsid w:val="00FD4238"/>
    <w:rsid w:val="00FD4E5B"/>
    <w:rsid w:val="00FD5EA1"/>
    <w:rsid w:val="00FD60F4"/>
    <w:rsid w:val="00FE1A34"/>
    <w:rsid w:val="00FE2DF8"/>
    <w:rsid w:val="00FE43F9"/>
    <w:rsid w:val="00FE4B84"/>
    <w:rsid w:val="00FE5C77"/>
    <w:rsid w:val="00FE5E24"/>
    <w:rsid w:val="00FE6908"/>
    <w:rsid w:val="00FE7454"/>
    <w:rsid w:val="00FE7651"/>
    <w:rsid w:val="00FE7BE9"/>
    <w:rsid w:val="00FF15AC"/>
    <w:rsid w:val="00FF239C"/>
    <w:rsid w:val="00FF380D"/>
    <w:rsid w:val="00FF5255"/>
    <w:rsid w:val="28251C5C"/>
    <w:rsid w:val="387821AD"/>
    <w:rsid w:val="4A8B3BE5"/>
    <w:rsid w:val="4B307E5E"/>
    <w:rsid w:val="50476692"/>
    <w:rsid w:val="660616DB"/>
    <w:rsid w:val="70182AC5"/>
    <w:rsid w:val="72582B14"/>
    <w:rsid w:val="785B7E16"/>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qFormat="1"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spacing w:line="360" w:lineRule="auto"/>
      <w:ind w:firstLine="200" w:firstLineChars="200"/>
    </w:pPr>
    <w:rPr>
      <w:rFonts w:ascii="Times New Roman" w:hAnsi="Times New Roman" w:eastAsia="宋体" w:cs="宋体"/>
      <w:sz w:val="24"/>
      <w:szCs w:val="22"/>
      <w:lang w:val="en-US" w:eastAsia="en-US" w:bidi="ar-SA"/>
    </w:rPr>
  </w:style>
  <w:style w:type="paragraph" w:styleId="2">
    <w:name w:val="heading 1"/>
    <w:basedOn w:val="1"/>
    <w:link w:val="82"/>
    <w:qFormat/>
    <w:uiPriority w:val="1"/>
    <w:pPr>
      <w:spacing w:before="50" w:beforeLines="50" w:after="50" w:afterLines="50"/>
      <w:ind w:firstLine="0" w:firstLineChars="0"/>
      <w:outlineLvl w:val="0"/>
    </w:pPr>
    <w:rPr>
      <w:b/>
      <w:bCs/>
      <w:szCs w:val="28"/>
    </w:rPr>
  </w:style>
  <w:style w:type="paragraph" w:styleId="3">
    <w:name w:val="heading 2"/>
    <w:basedOn w:val="1"/>
    <w:link w:val="79"/>
    <w:qFormat/>
    <w:uiPriority w:val="1"/>
    <w:pPr>
      <w:spacing w:before="50" w:beforeLines="50" w:after="50" w:afterLines="50"/>
      <w:ind w:firstLine="0" w:firstLineChars="0"/>
      <w:outlineLvl w:val="1"/>
    </w:pPr>
    <w:rPr>
      <w:b/>
      <w:bCs/>
      <w:szCs w:val="24"/>
    </w:rPr>
  </w:style>
  <w:style w:type="paragraph" w:styleId="4">
    <w:name w:val="heading 3"/>
    <w:basedOn w:val="1"/>
    <w:link w:val="83"/>
    <w:qFormat/>
    <w:uiPriority w:val="1"/>
    <w:pPr>
      <w:spacing w:before="50" w:beforeLines="50" w:after="50" w:afterLines="50"/>
      <w:ind w:firstLine="0" w:firstLineChars="0"/>
      <w:outlineLvl w:val="2"/>
    </w:pPr>
    <w:rPr>
      <w:b/>
      <w:szCs w:val="24"/>
    </w:rPr>
  </w:style>
  <w:style w:type="paragraph" w:styleId="5">
    <w:name w:val="heading 4"/>
    <w:basedOn w:val="1"/>
    <w:link w:val="84"/>
    <w:qFormat/>
    <w:uiPriority w:val="1"/>
    <w:pPr>
      <w:spacing w:before="50" w:beforeLines="50" w:after="50" w:afterLines="50"/>
      <w:ind w:firstLine="0" w:firstLineChars="0"/>
      <w:outlineLvl w:val="3"/>
    </w:pPr>
    <w:rPr>
      <w:b/>
      <w:bCs/>
      <w:szCs w:val="21"/>
      <w:lang w:eastAsia="zh-CN"/>
    </w:rPr>
  </w:style>
  <w:style w:type="paragraph" w:styleId="6">
    <w:name w:val="heading 5"/>
    <w:basedOn w:val="1"/>
    <w:next w:val="1"/>
    <w:link w:val="81"/>
    <w:unhideWhenUsed/>
    <w:qFormat/>
    <w:uiPriority w:val="9"/>
    <w:pPr>
      <w:keepNext/>
      <w:keepLines/>
      <w:outlineLvl w:val="4"/>
    </w:pPr>
    <w:rPr>
      <w:bCs/>
      <w:szCs w:val="28"/>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7">
    <w:name w:val="caption"/>
    <w:basedOn w:val="1"/>
    <w:next w:val="1"/>
    <w:unhideWhenUsed/>
    <w:qFormat/>
    <w:uiPriority w:val="35"/>
    <w:rPr>
      <w:rFonts w:eastAsia="黑体" w:asciiTheme="majorHAnsi" w:hAnsiTheme="majorHAnsi" w:cstheme="majorBidi"/>
      <w:sz w:val="20"/>
      <w:szCs w:val="20"/>
    </w:rPr>
  </w:style>
  <w:style w:type="paragraph" w:styleId="8">
    <w:name w:val="annotation text"/>
    <w:basedOn w:val="1"/>
    <w:link w:val="33"/>
    <w:qFormat/>
    <w:uiPriority w:val="0"/>
    <w:rPr>
      <w:rFonts w:cs="Times New Roman"/>
      <w:kern w:val="2"/>
      <w:sz w:val="21"/>
      <w:szCs w:val="24"/>
      <w:lang w:eastAsia="zh-CN"/>
    </w:rPr>
  </w:style>
  <w:style w:type="paragraph" w:styleId="9">
    <w:name w:val="Body Text"/>
    <w:basedOn w:val="1"/>
    <w:link w:val="34"/>
    <w:qFormat/>
    <w:uiPriority w:val="1"/>
    <w:pPr>
      <w:spacing w:line="240" w:lineRule="auto"/>
      <w:ind w:firstLine="0" w:firstLineChars="0"/>
    </w:pPr>
    <w:rPr>
      <w:sz w:val="21"/>
      <w:szCs w:val="21"/>
    </w:rPr>
  </w:style>
  <w:style w:type="paragraph" w:styleId="10">
    <w:name w:val="toc 3"/>
    <w:basedOn w:val="1"/>
    <w:next w:val="1"/>
    <w:autoRedefine/>
    <w:unhideWhenUsed/>
    <w:qFormat/>
    <w:uiPriority w:val="39"/>
    <w:pPr>
      <w:ind w:left="840" w:leftChars="400"/>
    </w:pPr>
  </w:style>
  <w:style w:type="paragraph" w:styleId="11">
    <w:name w:val="Date"/>
    <w:basedOn w:val="1"/>
    <w:next w:val="1"/>
    <w:link w:val="41"/>
    <w:semiHidden/>
    <w:unhideWhenUsed/>
    <w:qFormat/>
    <w:uiPriority w:val="99"/>
    <w:pPr>
      <w:ind w:left="100" w:leftChars="2500"/>
    </w:pPr>
  </w:style>
  <w:style w:type="paragraph" w:styleId="12">
    <w:name w:val="Balloon Text"/>
    <w:basedOn w:val="1"/>
    <w:link w:val="32"/>
    <w:semiHidden/>
    <w:unhideWhenUsed/>
    <w:qFormat/>
    <w:uiPriority w:val="99"/>
    <w:rPr>
      <w:sz w:val="18"/>
      <w:szCs w:val="18"/>
    </w:rPr>
  </w:style>
  <w:style w:type="paragraph" w:styleId="13">
    <w:name w:val="footer"/>
    <w:basedOn w:val="1"/>
    <w:link w:val="31"/>
    <w:unhideWhenUsed/>
    <w:qFormat/>
    <w:uiPriority w:val="99"/>
    <w:pPr>
      <w:tabs>
        <w:tab w:val="center" w:pos="4153"/>
        <w:tab w:val="right" w:pos="8306"/>
      </w:tabs>
      <w:snapToGrid w:val="0"/>
    </w:pPr>
    <w:rPr>
      <w:sz w:val="18"/>
      <w:szCs w:val="18"/>
    </w:rPr>
  </w:style>
  <w:style w:type="paragraph" w:styleId="14">
    <w:name w:val="header"/>
    <w:basedOn w:val="1"/>
    <w:link w:val="30"/>
    <w:unhideWhenUsed/>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autoRedefine/>
    <w:unhideWhenUsed/>
    <w:qFormat/>
    <w:uiPriority w:val="39"/>
  </w:style>
  <w:style w:type="paragraph" w:styleId="16">
    <w:name w:val="table of figures"/>
    <w:basedOn w:val="1"/>
    <w:next w:val="1"/>
    <w:semiHidden/>
    <w:unhideWhenUsed/>
    <w:qFormat/>
    <w:uiPriority w:val="99"/>
    <w:pPr>
      <w:ind w:left="200" w:leftChars="200" w:hanging="200" w:hangingChars="200"/>
    </w:pPr>
  </w:style>
  <w:style w:type="paragraph" w:styleId="17">
    <w:name w:val="toc 2"/>
    <w:basedOn w:val="1"/>
    <w:next w:val="1"/>
    <w:autoRedefine/>
    <w:unhideWhenUsed/>
    <w:qFormat/>
    <w:uiPriority w:val="39"/>
    <w:pPr>
      <w:ind w:left="420" w:leftChars="200"/>
    </w:pPr>
  </w:style>
  <w:style w:type="paragraph" w:styleId="18">
    <w:name w:val="Normal (Web)"/>
    <w:basedOn w:val="1"/>
    <w:unhideWhenUsed/>
    <w:qFormat/>
    <w:uiPriority w:val="99"/>
    <w:pPr>
      <w:widowControl/>
      <w:spacing w:before="100" w:beforeAutospacing="1" w:after="100" w:afterAutospacing="1"/>
    </w:pPr>
    <w:rPr>
      <w:szCs w:val="24"/>
      <w:lang w:eastAsia="zh-CN"/>
    </w:rPr>
  </w:style>
  <w:style w:type="paragraph" w:styleId="19">
    <w:name w:val="annotation subject"/>
    <w:basedOn w:val="8"/>
    <w:next w:val="8"/>
    <w:link w:val="35"/>
    <w:semiHidden/>
    <w:unhideWhenUsed/>
    <w:qFormat/>
    <w:uiPriority w:val="99"/>
    <w:pPr>
      <w:ind w:firstLine="0" w:firstLineChars="0"/>
    </w:pPr>
    <w:rPr>
      <w:rFonts w:ascii="宋体" w:hAnsi="宋体" w:cs="宋体"/>
      <w:b/>
      <w:bCs/>
      <w:kern w:val="0"/>
      <w:sz w:val="22"/>
      <w:szCs w:val="22"/>
      <w:lang w:eastAsia="en-US"/>
    </w:rPr>
  </w:style>
  <w:style w:type="table" w:styleId="21">
    <w:name w:val="Table Grid"/>
    <w:basedOn w:val="20"/>
    <w:qFormat/>
    <w:uiPriority w:val="39"/>
    <w:rPr>
      <w:kern w:val="2"/>
      <w:sz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b/>
    </w:rPr>
  </w:style>
  <w:style w:type="character" w:styleId="24">
    <w:name w:val="Emphasis"/>
    <w:basedOn w:val="22"/>
    <w:qFormat/>
    <w:uiPriority w:val="20"/>
    <w:rPr>
      <w:i/>
      <w:iCs/>
    </w:rPr>
  </w:style>
  <w:style w:type="character" w:styleId="25">
    <w:name w:val="Hyperlink"/>
    <w:basedOn w:val="22"/>
    <w:unhideWhenUsed/>
    <w:qFormat/>
    <w:uiPriority w:val="99"/>
    <w:rPr>
      <w:color w:val="0000FF"/>
      <w:u w:val="single"/>
    </w:rPr>
  </w:style>
  <w:style w:type="character" w:styleId="26">
    <w:name w:val="annotation reference"/>
    <w:basedOn w:val="22"/>
    <w:unhideWhenUsed/>
    <w:qFormat/>
    <w:uiPriority w:val="0"/>
    <w:rPr>
      <w:sz w:val="21"/>
      <w:szCs w:val="21"/>
    </w:rPr>
  </w:style>
  <w:style w:type="table" w:customStyle="1" w:styleId="27">
    <w:name w:val="Table Normal"/>
    <w:semiHidden/>
    <w:unhideWhenUsed/>
    <w:qFormat/>
    <w:uiPriority w:val="2"/>
    <w:tblPr>
      <w:tblCellMar>
        <w:top w:w="0" w:type="dxa"/>
        <w:left w:w="0" w:type="dxa"/>
        <w:bottom w:w="0" w:type="dxa"/>
        <w:right w:w="0" w:type="dxa"/>
      </w:tblCellMar>
    </w:tblPr>
  </w:style>
  <w:style w:type="paragraph" w:styleId="28">
    <w:name w:val="List Paragraph"/>
    <w:basedOn w:val="1"/>
    <w:qFormat/>
    <w:uiPriority w:val="99"/>
  </w:style>
  <w:style w:type="paragraph" w:customStyle="1" w:styleId="29">
    <w:name w:val="Table Paragraph"/>
    <w:basedOn w:val="1"/>
    <w:qFormat/>
    <w:uiPriority w:val="1"/>
    <w:pPr>
      <w:spacing w:before="8"/>
      <w:jc w:val="center"/>
    </w:pPr>
  </w:style>
  <w:style w:type="character" w:customStyle="1" w:styleId="30">
    <w:name w:val="页眉 字符"/>
    <w:basedOn w:val="22"/>
    <w:link w:val="14"/>
    <w:qFormat/>
    <w:uiPriority w:val="99"/>
    <w:rPr>
      <w:rFonts w:ascii="宋体" w:hAnsi="宋体" w:eastAsia="宋体" w:cs="宋体"/>
      <w:sz w:val="18"/>
      <w:szCs w:val="18"/>
    </w:rPr>
  </w:style>
  <w:style w:type="character" w:customStyle="1" w:styleId="31">
    <w:name w:val="页脚 字符"/>
    <w:basedOn w:val="22"/>
    <w:link w:val="13"/>
    <w:qFormat/>
    <w:uiPriority w:val="99"/>
    <w:rPr>
      <w:rFonts w:ascii="宋体" w:hAnsi="宋体" w:eastAsia="宋体" w:cs="宋体"/>
      <w:sz w:val="18"/>
      <w:szCs w:val="18"/>
    </w:rPr>
  </w:style>
  <w:style w:type="character" w:customStyle="1" w:styleId="32">
    <w:name w:val="批注框文本 字符"/>
    <w:basedOn w:val="22"/>
    <w:link w:val="12"/>
    <w:semiHidden/>
    <w:qFormat/>
    <w:uiPriority w:val="99"/>
    <w:rPr>
      <w:rFonts w:ascii="宋体" w:hAnsi="宋体" w:eastAsia="宋体" w:cs="宋体"/>
      <w:sz w:val="18"/>
      <w:szCs w:val="18"/>
    </w:rPr>
  </w:style>
  <w:style w:type="character" w:customStyle="1" w:styleId="33">
    <w:name w:val="批注文字 字符"/>
    <w:basedOn w:val="22"/>
    <w:link w:val="8"/>
    <w:qFormat/>
    <w:uiPriority w:val="0"/>
    <w:rPr>
      <w:rFonts w:ascii="Times New Roman" w:hAnsi="Times New Roman" w:eastAsia="宋体" w:cs="Times New Roman"/>
      <w:kern w:val="2"/>
      <w:sz w:val="21"/>
      <w:szCs w:val="24"/>
      <w:lang w:eastAsia="zh-CN"/>
    </w:rPr>
  </w:style>
  <w:style w:type="character" w:customStyle="1" w:styleId="34">
    <w:name w:val="正文文本 字符"/>
    <w:basedOn w:val="22"/>
    <w:link w:val="9"/>
    <w:qFormat/>
    <w:uiPriority w:val="1"/>
    <w:rPr>
      <w:rFonts w:ascii="Times New Roman" w:hAnsi="Times New Roman" w:eastAsia="宋体" w:cs="宋体"/>
      <w:sz w:val="21"/>
      <w:szCs w:val="21"/>
    </w:rPr>
  </w:style>
  <w:style w:type="character" w:customStyle="1" w:styleId="35">
    <w:name w:val="批注主题 字符"/>
    <w:basedOn w:val="33"/>
    <w:link w:val="19"/>
    <w:semiHidden/>
    <w:qFormat/>
    <w:uiPriority w:val="99"/>
    <w:rPr>
      <w:rFonts w:ascii="宋体" w:hAnsi="宋体" w:eastAsia="宋体" w:cs="宋体"/>
      <w:b/>
      <w:bCs/>
      <w:kern w:val="2"/>
      <w:sz w:val="21"/>
      <w:szCs w:val="24"/>
      <w:lang w:eastAsia="zh-CN"/>
    </w:rPr>
  </w:style>
  <w:style w:type="character" w:customStyle="1" w:styleId="36">
    <w:name w:val="u正文 Char"/>
    <w:link w:val="37"/>
    <w:qFormat/>
    <w:uiPriority w:val="0"/>
    <w:rPr>
      <w:rFonts w:eastAsia="宋体" w:cs="宋体"/>
      <w:sz w:val="24"/>
    </w:rPr>
  </w:style>
  <w:style w:type="paragraph" w:customStyle="1" w:styleId="37">
    <w:name w:val="u正文"/>
    <w:basedOn w:val="1"/>
    <w:link w:val="36"/>
    <w:qFormat/>
    <w:uiPriority w:val="0"/>
    <w:pPr>
      <w:spacing w:beforeLines="10" w:afterLines="10" w:line="312" w:lineRule="auto"/>
      <w:jc w:val="both"/>
    </w:pPr>
    <w:rPr>
      <w:rFonts w:asciiTheme="minorHAnsi" w:hAnsiTheme="minorHAnsi"/>
    </w:rPr>
  </w:style>
  <w:style w:type="paragraph" w:customStyle="1" w:styleId="38">
    <w:name w:val="正文公式编号制表符"/>
    <w:basedOn w:val="1"/>
    <w:next w:val="1"/>
    <w:qFormat/>
    <w:uiPriority w:val="0"/>
    <w:pPr>
      <w:widowControl/>
      <w:tabs>
        <w:tab w:val="center" w:pos="4201"/>
        <w:tab w:val="right" w:leader="dot" w:pos="9298"/>
      </w:tabs>
      <w:autoSpaceDE w:val="0"/>
      <w:autoSpaceDN w:val="0"/>
      <w:jc w:val="both"/>
    </w:pPr>
    <w:rPr>
      <w:rFonts w:cs="Times New Roman"/>
      <w:sz w:val="21"/>
      <w:szCs w:val="20"/>
      <w:lang w:eastAsia="zh-CN"/>
    </w:rPr>
  </w:style>
  <w:style w:type="table" w:customStyle="1" w:styleId="39">
    <w:name w:val="网格型1"/>
    <w:basedOn w:val="20"/>
    <w:qFormat/>
    <w:uiPriority w:val="59"/>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40">
    <w:name w:val="TOC 标题1"/>
    <w:basedOn w:val="2"/>
    <w:next w:val="1"/>
    <w:unhideWhenUsed/>
    <w:qFormat/>
    <w:uiPriority w:val="39"/>
    <w:pPr>
      <w:keepNext/>
      <w:keepLines/>
      <w:widowControl/>
      <w:spacing w:before="240" w:line="259" w:lineRule="auto"/>
      <w:outlineLvl w:val="9"/>
    </w:pPr>
    <w:rPr>
      <w:rFonts w:asciiTheme="majorHAnsi" w:hAnsiTheme="majorHAnsi" w:eastAsiaTheme="majorEastAsia" w:cstheme="majorBidi"/>
      <w:b w:val="0"/>
      <w:bCs w:val="0"/>
      <w:color w:val="376092" w:themeColor="accent1" w:themeShade="BF"/>
      <w:sz w:val="32"/>
      <w:szCs w:val="32"/>
      <w:lang w:eastAsia="zh-CN"/>
    </w:rPr>
  </w:style>
  <w:style w:type="character" w:customStyle="1" w:styleId="41">
    <w:name w:val="日期 字符"/>
    <w:basedOn w:val="22"/>
    <w:link w:val="11"/>
    <w:semiHidden/>
    <w:qFormat/>
    <w:uiPriority w:val="99"/>
    <w:rPr>
      <w:rFonts w:ascii="宋体" w:hAnsi="宋体" w:eastAsia="宋体" w:cs="宋体"/>
    </w:rPr>
  </w:style>
  <w:style w:type="paragraph" w:customStyle="1" w:styleId="42">
    <w:name w:val="段"/>
    <w:link w:val="43"/>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43">
    <w:name w:val="段 Char"/>
    <w:link w:val="42"/>
    <w:qFormat/>
    <w:locked/>
    <w:uiPriority w:val="0"/>
    <w:rPr>
      <w:rFonts w:ascii="宋体" w:hAnsi="Times New Roman" w:eastAsia="宋体" w:cs="Times New Roman"/>
      <w:sz w:val="21"/>
      <w:szCs w:val="20"/>
      <w:lang w:eastAsia="zh-CN"/>
    </w:rPr>
  </w:style>
  <w:style w:type="paragraph" w:customStyle="1" w:styleId="44">
    <w:name w:val="修订1"/>
    <w:hidden/>
    <w:semiHidden/>
    <w:qFormat/>
    <w:uiPriority w:val="99"/>
    <w:rPr>
      <w:rFonts w:ascii="宋体" w:hAnsi="宋体" w:eastAsia="宋体" w:cs="宋体"/>
      <w:sz w:val="22"/>
      <w:szCs w:val="22"/>
      <w:lang w:val="en-US" w:eastAsia="en-US" w:bidi="ar-SA"/>
    </w:rPr>
  </w:style>
  <w:style w:type="table" w:customStyle="1" w:styleId="45">
    <w:name w:val="网格型11"/>
    <w:basedOn w:val="20"/>
    <w:qFormat/>
    <w:uiPriority w:val="39"/>
    <w:rPr>
      <w:rFonts w:ascii="Calibri" w:hAnsi="Calibri"/>
      <w:kern w:val="2"/>
      <w:sz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6">
    <w:name w:val="附录表标号"/>
    <w:basedOn w:val="1"/>
    <w:next w:val="42"/>
    <w:qFormat/>
    <w:uiPriority w:val="0"/>
    <w:pPr>
      <w:numPr>
        <w:ilvl w:val="0"/>
        <w:numId w:val="1"/>
      </w:numPr>
      <w:tabs>
        <w:tab w:val="clear" w:pos="0"/>
      </w:tabs>
      <w:spacing w:line="14" w:lineRule="exact"/>
      <w:ind w:left="811" w:hanging="448"/>
      <w:jc w:val="center"/>
      <w:outlineLvl w:val="0"/>
    </w:pPr>
    <w:rPr>
      <w:rFonts w:cs="Times New Roman"/>
      <w:color w:val="FFFFFF"/>
      <w:kern w:val="2"/>
      <w:sz w:val="21"/>
      <w:szCs w:val="24"/>
      <w:lang w:eastAsia="zh-CN"/>
    </w:rPr>
  </w:style>
  <w:style w:type="paragraph" w:customStyle="1" w:styleId="47">
    <w:name w:val="附录表标题"/>
    <w:basedOn w:val="1"/>
    <w:next w:val="42"/>
    <w:qFormat/>
    <w:uiPriority w:val="0"/>
    <w:pPr>
      <w:numPr>
        <w:ilvl w:val="1"/>
        <w:numId w:val="1"/>
      </w:numPr>
      <w:tabs>
        <w:tab w:val="left" w:pos="0"/>
        <w:tab w:val="left" w:pos="180"/>
      </w:tabs>
      <w:spacing w:beforeLines="50" w:afterLines="50"/>
      <w:jc w:val="center"/>
    </w:pPr>
    <w:rPr>
      <w:rFonts w:ascii="黑体" w:eastAsia="黑体" w:cs="Times New Roman"/>
      <w:kern w:val="2"/>
      <w:sz w:val="21"/>
      <w:szCs w:val="21"/>
      <w:lang w:eastAsia="zh-CN"/>
    </w:rPr>
  </w:style>
  <w:style w:type="paragraph" w:customStyle="1" w:styleId="48">
    <w:name w:val="注：（正文）"/>
    <w:basedOn w:val="1"/>
    <w:next w:val="42"/>
    <w:qFormat/>
    <w:uiPriority w:val="0"/>
    <w:pPr>
      <w:numPr>
        <w:ilvl w:val="0"/>
        <w:numId w:val="2"/>
      </w:numPr>
      <w:autoSpaceDE w:val="0"/>
      <w:autoSpaceDN w:val="0"/>
      <w:jc w:val="both"/>
    </w:pPr>
    <w:rPr>
      <w:rFonts w:cs="Times New Roman"/>
      <w:sz w:val="18"/>
      <w:szCs w:val="18"/>
      <w:lang w:eastAsia="zh-CN"/>
    </w:rPr>
  </w:style>
  <w:style w:type="paragraph" w:customStyle="1" w:styleId="49">
    <w:name w:val="标准文件_二级条标题"/>
    <w:next w:val="1"/>
    <w:qFormat/>
    <w:uiPriority w:val="0"/>
    <w:pPr>
      <w:widowControl w:val="0"/>
      <w:numPr>
        <w:ilvl w:val="3"/>
        <w:numId w:val="3"/>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50">
    <w:name w:val="标准文件_三级条标题"/>
    <w:basedOn w:val="49"/>
    <w:next w:val="1"/>
    <w:qFormat/>
    <w:uiPriority w:val="0"/>
    <w:pPr>
      <w:widowControl/>
      <w:numPr>
        <w:ilvl w:val="4"/>
      </w:numPr>
      <w:outlineLvl w:val="3"/>
    </w:pPr>
  </w:style>
  <w:style w:type="paragraph" w:customStyle="1" w:styleId="51">
    <w:name w:val="标准文件_四级条标题"/>
    <w:next w:val="1"/>
    <w:qFormat/>
    <w:uiPriority w:val="0"/>
    <w:pPr>
      <w:widowControl w:val="0"/>
      <w:numPr>
        <w:ilvl w:val="5"/>
        <w:numId w:val="3"/>
      </w:numPr>
      <w:spacing w:before="50" w:beforeLines="50" w:after="50" w:afterLines="50"/>
      <w:jc w:val="both"/>
      <w:outlineLvl w:val="4"/>
    </w:pPr>
    <w:rPr>
      <w:rFonts w:ascii="黑体" w:hAnsi="Times New Roman" w:eastAsia="黑体" w:cs="Times New Roman"/>
      <w:sz w:val="21"/>
      <w:lang w:val="en-US" w:eastAsia="zh-CN" w:bidi="ar-SA"/>
    </w:rPr>
  </w:style>
  <w:style w:type="paragraph" w:customStyle="1" w:styleId="52">
    <w:name w:val="标准文件_五级条标题"/>
    <w:next w:val="1"/>
    <w:qFormat/>
    <w:uiPriority w:val="0"/>
    <w:pPr>
      <w:widowControl w:val="0"/>
      <w:numPr>
        <w:ilvl w:val="6"/>
        <w:numId w:val="3"/>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53">
    <w:name w:val="标准文件_章标题"/>
    <w:next w:val="1"/>
    <w:qFormat/>
    <w:uiPriority w:val="0"/>
    <w:pPr>
      <w:numPr>
        <w:ilvl w:val="1"/>
        <w:numId w:val="3"/>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54">
    <w:name w:val="标准文件_一级条标题"/>
    <w:basedOn w:val="53"/>
    <w:next w:val="1"/>
    <w:qFormat/>
    <w:uiPriority w:val="0"/>
    <w:pPr>
      <w:numPr>
        <w:ilvl w:val="2"/>
      </w:numPr>
      <w:spacing w:before="50" w:beforeLines="50" w:after="50" w:afterLines="50"/>
      <w:outlineLvl w:val="1"/>
    </w:pPr>
  </w:style>
  <w:style w:type="paragraph" w:customStyle="1" w:styleId="55">
    <w:name w:val="前言标题"/>
    <w:next w:val="1"/>
    <w:qFormat/>
    <w:uiPriority w:val="0"/>
    <w:pPr>
      <w:numPr>
        <w:ilvl w:val="0"/>
        <w:numId w:val="3"/>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56">
    <w:name w:val="标准文件_正文表标题"/>
    <w:next w:val="1"/>
    <w:qFormat/>
    <w:uiPriority w:val="0"/>
    <w:pPr>
      <w:numPr>
        <w:ilvl w:val="0"/>
        <w:numId w:val="4"/>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57">
    <w:name w:val="标准文件_附录表标题"/>
    <w:next w:val="1"/>
    <w:qFormat/>
    <w:uiPriority w:val="0"/>
    <w:pPr>
      <w:numPr>
        <w:ilvl w:val="1"/>
        <w:numId w:val="5"/>
      </w:numPr>
      <w:adjustRightInd w:val="0"/>
      <w:snapToGrid w:val="0"/>
      <w:spacing w:before="50" w:beforeLines="50"/>
      <w:ind w:left="0"/>
      <w:jc w:val="center"/>
      <w:textAlignment w:val="baseline"/>
    </w:pPr>
    <w:rPr>
      <w:rFonts w:ascii="Times New Roman" w:hAnsi="Times New Roman" w:eastAsia="宋体" w:cs="Times New Roman"/>
      <w:kern w:val="21"/>
      <w:sz w:val="21"/>
      <w:lang w:val="en-US" w:eastAsia="zh-CN" w:bidi="ar-SA"/>
    </w:rPr>
  </w:style>
  <w:style w:type="paragraph" w:customStyle="1" w:styleId="58">
    <w:name w:val="标准文件_表格"/>
    <w:basedOn w:val="1"/>
    <w:qFormat/>
    <w:uiPriority w:val="0"/>
    <w:pPr>
      <w:widowControl/>
      <w:autoSpaceDE w:val="0"/>
      <w:autoSpaceDN w:val="0"/>
      <w:jc w:val="center"/>
    </w:pPr>
    <w:rPr>
      <w:rFonts w:cs="Times New Roman"/>
      <w:sz w:val="18"/>
      <w:szCs w:val="20"/>
      <w:lang w:eastAsia="zh-CN"/>
    </w:rPr>
  </w:style>
  <w:style w:type="paragraph" w:customStyle="1" w:styleId="59">
    <w:name w:val="标准文件_附录表标号"/>
    <w:basedOn w:val="1"/>
    <w:next w:val="1"/>
    <w:qFormat/>
    <w:uiPriority w:val="0"/>
    <w:pPr>
      <w:widowControl/>
      <w:numPr>
        <w:ilvl w:val="0"/>
        <w:numId w:val="5"/>
      </w:numPr>
      <w:autoSpaceDE w:val="0"/>
      <w:autoSpaceDN w:val="0"/>
      <w:spacing w:line="14" w:lineRule="exact"/>
      <w:ind w:firstLine="0"/>
      <w:jc w:val="center"/>
    </w:pPr>
    <w:rPr>
      <w:rFonts w:eastAsia="黑体" w:cs="Times New Roman"/>
      <w:vanish/>
      <w:sz w:val="2"/>
      <w:szCs w:val="20"/>
      <w:lang w:eastAsia="zh-CN"/>
    </w:rPr>
  </w:style>
  <w:style w:type="paragraph" w:customStyle="1" w:styleId="60">
    <w:name w:val="标准文件_标准正文"/>
    <w:basedOn w:val="1"/>
    <w:next w:val="61"/>
    <w:qFormat/>
    <w:uiPriority w:val="0"/>
    <w:pPr>
      <w:adjustRightInd w:val="0"/>
      <w:snapToGrid w:val="0"/>
      <w:spacing w:line="400" w:lineRule="exact"/>
      <w:jc w:val="both"/>
    </w:pPr>
    <w:rPr>
      <w:rFonts w:ascii="Calibri" w:hAnsi="Calibri" w:cs="Times New Roman"/>
      <w:sz w:val="21"/>
      <w:szCs w:val="21"/>
      <w:lang w:eastAsia="zh-CN"/>
    </w:rPr>
  </w:style>
  <w:style w:type="paragraph" w:customStyle="1" w:styleId="61">
    <w:name w:val="标准文件_段"/>
    <w:link w:val="69"/>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2">
    <w:name w:val="标准文件_附录标识"/>
    <w:next w:val="61"/>
    <w:qFormat/>
    <w:uiPriority w:val="0"/>
    <w:pPr>
      <w:numPr>
        <w:ilvl w:val="0"/>
        <w:numId w:val="6"/>
      </w:numPr>
      <w:shd w:val="clear" w:color="FFFFFF" w:fill="FFFFFF"/>
      <w:tabs>
        <w:tab w:val="left" w:pos="6406"/>
      </w:tabs>
      <w:spacing w:before="560" w:afterLines="50"/>
      <w:jc w:val="center"/>
      <w:outlineLvl w:val="0"/>
    </w:pPr>
    <w:rPr>
      <w:rFonts w:ascii="黑体" w:hAnsi="Times New Roman" w:eastAsia="黑体" w:cs="Times New Roman"/>
      <w:sz w:val="21"/>
      <w:lang w:val="en-US" w:eastAsia="zh-CN" w:bidi="ar-SA"/>
    </w:rPr>
  </w:style>
  <w:style w:type="paragraph" w:customStyle="1" w:styleId="63">
    <w:name w:val="标准文件_附录一级条标题"/>
    <w:next w:val="61"/>
    <w:qFormat/>
    <w:uiPriority w:val="0"/>
    <w:pPr>
      <w:widowControl w:val="0"/>
      <w:numPr>
        <w:ilvl w:val="1"/>
        <w:numId w:val="6"/>
      </w:numPr>
      <w:spacing w:beforeLines="50" w:afterLines="50"/>
      <w:jc w:val="both"/>
      <w:outlineLvl w:val="2"/>
    </w:pPr>
    <w:rPr>
      <w:rFonts w:ascii="黑体" w:hAnsi="Times New Roman" w:eastAsia="黑体" w:cs="Times New Roman"/>
      <w:kern w:val="21"/>
      <w:sz w:val="21"/>
      <w:lang w:val="en-US" w:eastAsia="zh-CN" w:bidi="ar-SA"/>
    </w:rPr>
  </w:style>
  <w:style w:type="paragraph" w:customStyle="1" w:styleId="64">
    <w:name w:val="标准文件_附录二级条标题"/>
    <w:basedOn w:val="63"/>
    <w:next w:val="61"/>
    <w:qFormat/>
    <w:uiPriority w:val="0"/>
    <w:pPr>
      <w:widowControl/>
      <w:numPr>
        <w:ilvl w:val="2"/>
      </w:numPr>
      <w:wordWrap w:val="0"/>
      <w:overflowPunct w:val="0"/>
      <w:autoSpaceDE w:val="0"/>
      <w:autoSpaceDN w:val="0"/>
      <w:textAlignment w:val="baseline"/>
      <w:outlineLvl w:val="3"/>
    </w:pPr>
  </w:style>
  <w:style w:type="paragraph" w:customStyle="1" w:styleId="65">
    <w:name w:val="标准文件_附录三级条标题"/>
    <w:next w:val="61"/>
    <w:qFormat/>
    <w:uiPriority w:val="0"/>
    <w:pPr>
      <w:widowControl w:val="0"/>
      <w:numPr>
        <w:ilvl w:val="3"/>
        <w:numId w:val="6"/>
      </w:numPr>
      <w:spacing w:beforeLines="50" w:afterLines="50"/>
      <w:jc w:val="both"/>
      <w:outlineLvl w:val="4"/>
    </w:pPr>
    <w:rPr>
      <w:rFonts w:ascii="黑体" w:hAnsi="Times New Roman" w:eastAsia="黑体" w:cs="Times New Roman"/>
      <w:kern w:val="21"/>
      <w:sz w:val="21"/>
      <w:lang w:val="en-US" w:eastAsia="zh-CN" w:bidi="ar-SA"/>
    </w:rPr>
  </w:style>
  <w:style w:type="paragraph" w:customStyle="1" w:styleId="66">
    <w:name w:val="标准文件_附录四级条标题"/>
    <w:next w:val="61"/>
    <w:qFormat/>
    <w:uiPriority w:val="0"/>
    <w:pPr>
      <w:widowControl w:val="0"/>
      <w:numPr>
        <w:ilvl w:val="4"/>
        <w:numId w:val="6"/>
      </w:numPr>
      <w:spacing w:beforeLines="50" w:afterLines="50"/>
      <w:jc w:val="both"/>
      <w:outlineLvl w:val="5"/>
    </w:pPr>
    <w:rPr>
      <w:rFonts w:ascii="黑体" w:hAnsi="Times New Roman" w:eastAsia="黑体" w:cs="Times New Roman"/>
      <w:kern w:val="21"/>
      <w:sz w:val="21"/>
      <w:lang w:val="en-US" w:eastAsia="zh-CN" w:bidi="ar-SA"/>
    </w:rPr>
  </w:style>
  <w:style w:type="paragraph" w:customStyle="1" w:styleId="67">
    <w:name w:val="标准文件_附录五级条标题"/>
    <w:next w:val="61"/>
    <w:qFormat/>
    <w:uiPriority w:val="0"/>
    <w:pPr>
      <w:widowControl w:val="0"/>
      <w:numPr>
        <w:ilvl w:val="5"/>
        <w:numId w:val="6"/>
      </w:numPr>
      <w:spacing w:beforeLines="50" w:afterLines="50"/>
      <w:jc w:val="both"/>
      <w:outlineLvl w:val="6"/>
    </w:pPr>
    <w:rPr>
      <w:rFonts w:ascii="黑体" w:hAnsi="Times New Roman" w:eastAsia="黑体" w:cs="Times New Roman"/>
      <w:kern w:val="21"/>
      <w:sz w:val="21"/>
      <w:lang w:val="en-US" w:eastAsia="zh-CN" w:bidi="ar-SA"/>
    </w:rPr>
  </w:style>
  <w:style w:type="paragraph" w:customStyle="1" w:styleId="68">
    <w:name w:val="标准文件_正文公式"/>
    <w:basedOn w:val="1"/>
    <w:next w:val="60"/>
    <w:qFormat/>
    <w:uiPriority w:val="0"/>
    <w:pPr>
      <w:tabs>
        <w:tab w:val="center" w:pos="4678"/>
        <w:tab w:val="right" w:leader="middleDot" w:pos="9356"/>
      </w:tabs>
      <w:adjustRightInd w:val="0"/>
      <w:jc w:val="both"/>
    </w:pPr>
    <w:rPr>
      <w:rFonts w:cs="Times New Roman"/>
      <w:kern w:val="2"/>
      <w:sz w:val="21"/>
      <w:szCs w:val="21"/>
      <w:lang w:eastAsia="zh-CN"/>
    </w:rPr>
  </w:style>
  <w:style w:type="character" w:customStyle="1" w:styleId="69">
    <w:name w:val="标准文件_段 Char"/>
    <w:link w:val="61"/>
    <w:qFormat/>
    <w:uiPriority w:val="0"/>
    <w:rPr>
      <w:rFonts w:ascii="宋体" w:hAnsi="Times New Roman" w:eastAsia="宋体" w:cs="Times New Roman"/>
      <w:sz w:val="21"/>
      <w:szCs w:val="20"/>
      <w:lang w:eastAsia="zh-CN"/>
    </w:rPr>
  </w:style>
  <w:style w:type="table" w:customStyle="1" w:styleId="70">
    <w:name w:val="网格型2"/>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
    <w:name w:val="网格型3"/>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2">
    <w:name w:val="reader-word-layer"/>
    <w:basedOn w:val="1"/>
    <w:qFormat/>
    <w:uiPriority w:val="0"/>
    <w:pPr>
      <w:widowControl/>
      <w:spacing w:before="100" w:beforeAutospacing="1" w:after="100" w:afterAutospacing="1"/>
    </w:pPr>
    <w:rPr>
      <w:szCs w:val="24"/>
      <w:lang w:eastAsia="zh-CN"/>
    </w:rPr>
  </w:style>
  <w:style w:type="character" w:styleId="73">
    <w:name w:val="Placeholder Text"/>
    <w:basedOn w:val="22"/>
    <w:semiHidden/>
    <w:qFormat/>
    <w:uiPriority w:val="99"/>
    <w:rPr>
      <w:color w:val="808080"/>
    </w:rPr>
  </w:style>
  <w:style w:type="paragraph" w:customStyle="1" w:styleId="74">
    <w:name w:val="标准文件_数字编号列项（二级）"/>
    <w:qFormat/>
    <w:uiPriority w:val="0"/>
    <w:pPr>
      <w:numPr>
        <w:ilvl w:val="1"/>
        <w:numId w:val="7"/>
      </w:numPr>
      <w:jc w:val="both"/>
    </w:pPr>
    <w:rPr>
      <w:rFonts w:ascii="宋体" w:hAnsi="Times New Roman" w:eastAsia="宋体" w:cs="Times New Roman"/>
      <w:sz w:val="21"/>
      <w:lang w:val="en-US" w:eastAsia="zh-CN" w:bidi="ar-SA"/>
    </w:rPr>
  </w:style>
  <w:style w:type="paragraph" w:customStyle="1" w:styleId="75">
    <w:name w:val="标准文件_编号列项（三级）"/>
    <w:qFormat/>
    <w:uiPriority w:val="0"/>
    <w:pPr>
      <w:numPr>
        <w:ilvl w:val="2"/>
        <w:numId w:val="7"/>
      </w:numPr>
    </w:pPr>
    <w:rPr>
      <w:rFonts w:ascii="宋体" w:hAnsi="Times New Roman" w:eastAsia="宋体" w:cs="Times New Roman"/>
      <w:sz w:val="21"/>
      <w:lang w:val="en-US" w:eastAsia="zh-CN" w:bidi="ar-SA"/>
    </w:rPr>
  </w:style>
  <w:style w:type="paragraph" w:customStyle="1" w:styleId="76">
    <w:name w:val="标准文件_字母编号列项（一级）"/>
    <w:qFormat/>
    <w:uiPriority w:val="0"/>
    <w:pPr>
      <w:numPr>
        <w:ilvl w:val="0"/>
        <w:numId w:val="7"/>
      </w:numPr>
      <w:jc w:val="both"/>
    </w:pPr>
    <w:rPr>
      <w:rFonts w:ascii="宋体" w:hAnsi="Times New Roman" w:eastAsia="宋体" w:cs="Times New Roman"/>
      <w:sz w:val="21"/>
      <w:lang w:val="en-US" w:eastAsia="zh-CN" w:bidi="ar-SA"/>
    </w:rPr>
  </w:style>
  <w:style w:type="paragraph" w:customStyle="1" w:styleId="77">
    <w:name w:val="标准文件_破折号列项（二级）"/>
    <w:basedOn w:val="1"/>
    <w:qFormat/>
    <w:uiPriority w:val="0"/>
    <w:pPr>
      <w:widowControl/>
      <w:numPr>
        <w:ilvl w:val="0"/>
        <w:numId w:val="8"/>
      </w:numPr>
      <w:adjustRightInd w:val="0"/>
      <w:snapToGrid w:val="0"/>
      <w:ind w:left="0" w:firstLine="200"/>
    </w:pPr>
    <w:rPr>
      <w:rFonts w:cs="Times New Roman"/>
      <w:sz w:val="21"/>
      <w:szCs w:val="20"/>
      <w:lang w:eastAsia="zh-CN"/>
    </w:rPr>
  </w:style>
  <w:style w:type="paragraph" w:customStyle="1" w:styleId="7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79">
    <w:name w:val="标题 2 字符"/>
    <w:basedOn w:val="22"/>
    <w:link w:val="3"/>
    <w:qFormat/>
    <w:uiPriority w:val="1"/>
    <w:rPr>
      <w:rFonts w:ascii="Times New Roman" w:hAnsi="Times New Roman" w:eastAsia="宋体" w:cs="宋体"/>
      <w:b/>
      <w:bCs/>
      <w:sz w:val="24"/>
      <w:szCs w:val="24"/>
    </w:rPr>
  </w:style>
  <w:style w:type="table" w:customStyle="1" w:styleId="80">
    <w:name w:val="网格型4"/>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1">
    <w:name w:val="标题 5 字符"/>
    <w:basedOn w:val="22"/>
    <w:link w:val="6"/>
    <w:qFormat/>
    <w:uiPriority w:val="9"/>
    <w:rPr>
      <w:rFonts w:ascii="Times New Roman" w:hAnsi="Times New Roman" w:eastAsia="宋体" w:cs="宋体"/>
      <w:bCs/>
      <w:sz w:val="24"/>
      <w:szCs w:val="28"/>
    </w:rPr>
  </w:style>
  <w:style w:type="character" w:customStyle="1" w:styleId="82">
    <w:name w:val="标题 1 字符"/>
    <w:basedOn w:val="22"/>
    <w:link w:val="2"/>
    <w:qFormat/>
    <w:uiPriority w:val="1"/>
    <w:rPr>
      <w:rFonts w:ascii="Times New Roman" w:hAnsi="Times New Roman" w:eastAsia="宋体" w:cs="宋体"/>
      <w:b/>
      <w:bCs/>
      <w:sz w:val="24"/>
      <w:szCs w:val="28"/>
    </w:rPr>
  </w:style>
  <w:style w:type="character" w:customStyle="1" w:styleId="83">
    <w:name w:val="标题 3 字符"/>
    <w:basedOn w:val="22"/>
    <w:link w:val="4"/>
    <w:qFormat/>
    <w:uiPriority w:val="1"/>
    <w:rPr>
      <w:rFonts w:ascii="Times New Roman" w:hAnsi="Times New Roman" w:eastAsia="宋体" w:cs="宋体"/>
      <w:b/>
      <w:sz w:val="24"/>
      <w:szCs w:val="24"/>
    </w:rPr>
  </w:style>
  <w:style w:type="character" w:customStyle="1" w:styleId="84">
    <w:name w:val="标题 4 字符"/>
    <w:basedOn w:val="22"/>
    <w:link w:val="5"/>
    <w:qFormat/>
    <w:uiPriority w:val="1"/>
    <w:rPr>
      <w:rFonts w:ascii="Times New Roman" w:hAnsi="Times New Roman" w:eastAsia="宋体" w:cs="宋体"/>
      <w:b/>
      <w:bCs/>
      <w:sz w:val="24"/>
      <w:szCs w:val="21"/>
      <w:lang w:eastAsia="zh-CN"/>
    </w:rPr>
  </w:style>
  <w:style w:type="paragraph" w:customStyle="1" w:styleId="85">
    <w:name w:val="表"/>
    <w:basedOn w:val="1"/>
    <w:next w:val="1"/>
    <w:qFormat/>
    <w:uiPriority w:val="0"/>
    <w:pPr>
      <w:widowControl/>
      <w:tabs>
        <w:tab w:val="center" w:pos="4201"/>
        <w:tab w:val="right" w:leader="dot" w:pos="9298"/>
      </w:tabs>
      <w:autoSpaceDE w:val="0"/>
      <w:autoSpaceDN w:val="0"/>
      <w:spacing w:before="50" w:beforeLines="50" w:line="240" w:lineRule="auto"/>
      <w:ind w:firstLine="0" w:firstLineChars="0"/>
      <w:jc w:val="center"/>
    </w:pPr>
    <w:rPr>
      <w:rFonts w:cs="Times New Roman"/>
      <w:sz w:val="21"/>
      <w:szCs w:val="20"/>
      <w:lang w:eastAsia="zh-CN"/>
    </w:rPr>
  </w:style>
  <w:style w:type="paragraph" w:customStyle="1" w:styleId="86">
    <w:name w:val="图"/>
    <w:basedOn w:val="16"/>
    <w:next w:val="60"/>
    <w:autoRedefine/>
    <w:qFormat/>
    <w:uiPriority w:val="0"/>
    <w:pPr>
      <w:tabs>
        <w:tab w:val="center" w:pos="4678"/>
        <w:tab w:val="right" w:leader="middleDot" w:pos="9356"/>
      </w:tabs>
      <w:adjustRightInd w:val="0"/>
      <w:ind w:left="0" w:leftChars="0" w:firstLine="0" w:firstLineChars="0"/>
      <w:jc w:val="center"/>
    </w:pPr>
    <w:rPr>
      <w:rFonts w:cs="Times New Roman"/>
      <w:kern w:val="2"/>
      <w:sz w:val="21"/>
      <w:szCs w:val="21"/>
      <w:lang w:eastAsia="zh-CN"/>
    </w:rPr>
  </w:style>
  <w:style w:type="paragraph" w:customStyle="1" w:styleId="87">
    <w:name w:val="标准文件_注："/>
    <w:next w:val="61"/>
    <w:qFormat/>
    <w:uiPriority w:val="0"/>
    <w:pPr>
      <w:widowControl w:val="0"/>
      <w:numPr>
        <w:ilvl w:val="0"/>
        <w:numId w:val="9"/>
      </w:numPr>
      <w:autoSpaceDE w:val="0"/>
      <w:autoSpaceDN w:val="0"/>
      <w:ind w:left="737"/>
      <w:jc w:val="both"/>
    </w:pPr>
    <w:rPr>
      <w:rFonts w:ascii="宋体" w:hAnsi="Times New Roman" w:eastAsia="宋体" w:cs="Times New Roman"/>
      <w:sz w:val="18"/>
      <w:szCs w:val="18"/>
      <w:lang w:val="en-US" w:eastAsia="zh-CN" w:bidi="ar-SA"/>
    </w:rPr>
  </w:style>
  <w:style w:type="paragraph" w:customStyle="1" w:styleId="88">
    <w:name w:val="标准文件_附录图标题"/>
    <w:basedOn w:val="89"/>
    <w:next w:val="89"/>
    <w:autoRedefine/>
    <w:qFormat/>
    <w:uiPriority w:val="0"/>
    <w:pPr>
      <w:numPr>
        <w:numId w:val="0"/>
      </w:numPr>
      <w:adjustRightInd w:val="0"/>
      <w:snapToGrid w:val="0"/>
      <w:spacing w:before="120" w:beforeLines="50" w:after="120" w:afterLines="50" w:line="240" w:lineRule="auto"/>
    </w:pPr>
    <w:rPr>
      <w:rFonts w:ascii="Times New Roman" w:hAnsi="Times New Roman" w:eastAsia="宋体"/>
      <w:sz w:val="21"/>
      <w:szCs w:val="20"/>
    </w:rPr>
  </w:style>
  <w:style w:type="paragraph" w:customStyle="1" w:styleId="89">
    <w:name w:val="标准文件_附录图标号"/>
    <w:basedOn w:val="61"/>
    <w:next w:val="61"/>
    <w:qFormat/>
    <w:uiPriority w:val="0"/>
    <w:pPr>
      <w:numPr>
        <w:ilvl w:val="0"/>
        <w:numId w:val="10"/>
      </w:numPr>
      <w:spacing w:line="14" w:lineRule="exact"/>
      <w:ind w:firstLine="0" w:firstLineChars="0"/>
      <w:jc w:val="center"/>
    </w:pPr>
    <w:rPr>
      <w:rFonts w:ascii="黑体" w:hAnsi="黑体" w:eastAsia="黑体"/>
      <w:vanish/>
      <w:sz w:val="2"/>
      <w:szCs w:val="21"/>
    </w:rPr>
  </w:style>
  <w:style w:type="table" w:customStyle="1" w:styleId="90">
    <w:name w:val="网格型5"/>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91">
    <w:name w:val="No Spacing"/>
    <w:qFormat/>
    <w:uiPriority w:val="1"/>
    <w:pPr>
      <w:widowControl w:val="0"/>
      <w:ind w:firstLine="200" w:firstLineChars="200"/>
    </w:pPr>
    <w:rPr>
      <w:rFonts w:ascii="Times New Roman" w:hAnsi="Times New Roman" w:eastAsia="宋体" w:cs="宋体"/>
      <w:sz w:val="24"/>
      <w:szCs w:val="22"/>
      <w:lang w:val="en-US" w:eastAsia="en-US" w:bidi="ar-SA"/>
    </w:rPr>
  </w:style>
  <w:style w:type="paragraph" w:customStyle="1" w:styleId="92">
    <w:name w:val="Revision"/>
    <w:hidden/>
    <w:semiHidden/>
    <w:uiPriority w:val="99"/>
    <w:rPr>
      <w:rFonts w:ascii="Times New Roman" w:hAnsi="Times New Roman" w:eastAsia="宋体" w:cs="宋体"/>
      <w:sz w:val="24"/>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4" Type="http://schemas.openxmlformats.org/officeDocument/2006/relationships/fontTable" Target="fontTable.xml"/><Relationship Id="rId43" Type="http://schemas.openxmlformats.org/officeDocument/2006/relationships/customXml" Target="../customXml/item1.xml"/><Relationship Id="rId42" Type="http://schemas.openxmlformats.org/officeDocument/2006/relationships/numbering" Target="numbering.xml"/><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endnotes" Target="endnotes.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tiff"/><Relationship Id="rId28" Type="http://schemas.openxmlformats.org/officeDocument/2006/relationships/image" Target="media/image16.tiff"/><Relationship Id="rId27" Type="http://schemas.openxmlformats.org/officeDocument/2006/relationships/image" Target="media/image15.tiff"/><Relationship Id="rId26" Type="http://schemas.openxmlformats.org/officeDocument/2006/relationships/image" Target="media/image14.png"/><Relationship Id="rId25" Type="http://schemas.openxmlformats.org/officeDocument/2006/relationships/image" Target="media/image13.tiff"/><Relationship Id="rId24" Type="http://schemas.openxmlformats.org/officeDocument/2006/relationships/image" Target="media/image12.tiff"/><Relationship Id="rId23" Type="http://schemas.openxmlformats.org/officeDocument/2006/relationships/image" Target="media/image11.tiff"/><Relationship Id="rId22" Type="http://schemas.openxmlformats.org/officeDocument/2006/relationships/image" Target="media/image10.tiff"/><Relationship Id="rId21" Type="http://schemas.openxmlformats.org/officeDocument/2006/relationships/image" Target="media/image9.tiff"/><Relationship Id="rId20" Type="http://schemas.openxmlformats.org/officeDocument/2006/relationships/image" Target="media/image8.tiff"/><Relationship Id="rId2" Type="http://schemas.openxmlformats.org/officeDocument/2006/relationships/settings" Target="settings.xml"/><Relationship Id="rId19" Type="http://schemas.openxmlformats.org/officeDocument/2006/relationships/image" Target="media/image7.tiff"/><Relationship Id="rId18" Type="http://schemas.openxmlformats.org/officeDocument/2006/relationships/image" Target="media/image6.tiff"/><Relationship Id="rId17" Type="http://schemas.openxmlformats.org/officeDocument/2006/relationships/image" Target="media/image5.tiff"/><Relationship Id="rId16" Type="http://schemas.openxmlformats.org/officeDocument/2006/relationships/image" Target="media/image4.tiff"/><Relationship Id="rId15" Type="http://schemas.openxmlformats.org/officeDocument/2006/relationships/image" Target="media/image3.tiff"/><Relationship Id="rId14" Type="http://schemas.openxmlformats.org/officeDocument/2006/relationships/image" Target="media/image2.tiff"/><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127122-5BE8-48AB-B2C6-669BCFFC0EC9}">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23</Pages>
  <Words>4837</Words>
  <Characters>5723</Characters>
  <Lines>72</Lines>
  <Paragraphs>20</Paragraphs>
  <TotalTime>3</TotalTime>
  <ScaleCrop>false</ScaleCrop>
  <LinksUpToDate>false</LinksUpToDate>
  <CharactersWithSpaces>6027</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2025-10-20T03:32:00Z</dcterms:created>
  <dc:creator>番茄花园</dc:creator>
  <cp:lastModifiedBy>一夕</cp:lastModifiedBy>
  <cp:lastPrinted>2025-05-15T07:51:00Z</cp:lastPrinted>
  <dcterms:modified xsi:type="dcterms:W3CDTF">2025-11-07T00:42:16Z</dcterms:modified>
  <dc:title>GB &lt;建筑用外墙涂料中有害物质限量》制定工作方案</dc:title>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2017-12-21T00:00:00Z</vt:filetime>
  </property>
  <property fmtid="{D5CDD505-2E9C-101B-9397-08002B2CF9AE}" pid="3" name="Creator">
    <vt:lpwstr>Microsoft® Office Word 2007</vt:lpwstr>
  </property>
  <property fmtid="{D5CDD505-2E9C-101B-9397-08002B2CF9AE}" pid="4" name="LastSaved">
    <vt:filetime>2019-08-13T00:00:00Z</vt:filetime>
  </property>
  <property fmtid="{D5CDD505-2E9C-101B-9397-08002B2CF9AE}" pid="5" name="KSOTemplateDocerSaveRecord">
    <vt:lpwstr>eyJoZGlkIjoiODBjNDZhNzJmNDBmNWY4MDIxYjQwNzdiZmI4NTVkZTMiLCJ1c2VySWQiOiIzNTM2Nzk1NzYifQ==</vt:lpwstr>
  </property>
  <property fmtid="{D5CDD505-2E9C-101B-9397-08002B2CF9AE}" pid="6" name="KSOProductBuildVer">
    <vt:lpwstr>2052-12.1.0.23125</vt:lpwstr>
  </property>
  <property fmtid="{D5CDD505-2E9C-101B-9397-08002B2CF9AE}" pid="7" name="ICV">
    <vt:lpwstr>7A7C37222DC84F96BA11E304FDDD47B7_13</vt:lpwstr>
  </property>
</Properties>
</file>